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C231D" w14:textId="1FEBC416" w:rsidR="001E60ED" w:rsidRDefault="00311613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13440" behindDoc="1" locked="0" layoutInCell="1" allowOverlap="1" wp14:anchorId="613D2E15" wp14:editId="031DD83D">
                <wp:simplePos x="0" y="0"/>
                <wp:positionH relativeFrom="page">
                  <wp:align>right</wp:align>
                </wp:positionH>
                <wp:positionV relativeFrom="paragraph">
                  <wp:posOffset>-629920</wp:posOffset>
                </wp:positionV>
                <wp:extent cx="10029825" cy="803910"/>
                <wp:effectExtent l="0" t="0" r="9525" b="0"/>
                <wp:wrapNone/>
                <wp:docPr id="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9825" cy="803910"/>
                        </a:xfrm>
                        <a:prstGeom prst="rect">
                          <a:avLst/>
                        </a:prstGeom>
                        <a:solidFill>
                          <a:srgbClr val="99CC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0E9F7C4" id="Rectangle 188" o:spid="_x0000_s1026" style="position:absolute;margin-left:738.55pt;margin-top:-49.6pt;width:789.75pt;height:63.3pt;z-index:-15703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" fillcolor="#9cc" stroked="f">
                <w10:wrap anchorx="page"/>
              </v:rect>
            </w:pict>
          </mc:Fallback>
        </mc:AlternateContent>
      </w:r>
      <w:r w:rsidR="00124C36" w:rsidRPr="005F5A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2AFD5243" wp14:editId="53498D5D">
                <wp:simplePos x="0" y="0"/>
                <wp:positionH relativeFrom="margin">
                  <wp:align>center</wp:align>
                </wp:positionH>
                <wp:positionV relativeFrom="paragraph">
                  <wp:posOffset>-547011</wp:posOffset>
                </wp:positionV>
                <wp:extent cx="7463155" cy="582295"/>
                <wp:effectExtent l="0" t="0" r="0" b="8255"/>
                <wp:wrapNone/>
                <wp:docPr id="2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315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DA918" w14:textId="77777777" w:rsidR="00193E07" w:rsidRPr="003702CD" w:rsidRDefault="00C22EA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PROTOCOLO</w:t>
                            </w:r>
                          </w:p>
                          <w:p w14:paraId="5F2CE3B2" w14:textId="77777777" w:rsidR="00193E07" w:rsidRDefault="00193E07"/>
                          <w:p w14:paraId="582805BE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2714150" w14:textId="77777777" w:rsidR="00193E07" w:rsidRDefault="00193E07"/>
                          <w:p w14:paraId="1DE35422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351F6D6D" w14:textId="77777777" w:rsidR="00193E07" w:rsidRDefault="00193E07"/>
                          <w:p w14:paraId="11B5B69B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032B2125" w14:textId="77777777" w:rsidR="00193E07" w:rsidRDefault="00193E07"/>
                          <w:p w14:paraId="28A32AD6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6AF1589" w14:textId="77777777" w:rsidR="00193E07" w:rsidRDefault="00193E07"/>
                          <w:p w14:paraId="55D9DF51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22590942" w14:textId="77777777" w:rsidR="00193E07" w:rsidRDefault="00193E07"/>
                          <w:p w14:paraId="4CC4F2DB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3AA59925" w14:textId="77777777" w:rsidR="00193E07" w:rsidRDefault="00193E07"/>
                          <w:p w14:paraId="7DF0F542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FFDD67F" w14:textId="77777777" w:rsidR="00193E07" w:rsidRDefault="00193E07"/>
                          <w:p w14:paraId="681A80CE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5BCC414A" w14:textId="77777777" w:rsidR="00193E07" w:rsidRDefault="00193E07"/>
                          <w:p w14:paraId="45F1A7A6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62B95721" w14:textId="77777777" w:rsidR="00193E07" w:rsidRDefault="00193E07"/>
                          <w:p w14:paraId="7B50864B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5B3CEE5F" w14:textId="77777777" w:rsidR="00193E07" w:rsidRDefault="00193E07"/>
                          <w:p w14:paraId="4B91878E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290A32A5" w14:textId="77777777" w:rsidR="00193E07" w:rsidRDefault="00193E07"/>
                          <w:p w14:paraId="0745B88A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8C53C62" w14:textId="77777777" w:rsidR="00193E07" w:rsidRDefault="00193E07"/>
                          <w:p w14:paraId="61AA428F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5BC84250" w14:textId="77777777" w:rsidR="00193E07" w:rsidRDefault="00193E07"/>
                          <w:p w14:paraId="2CA4D327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D5243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left:0;text-align:left;margin-left:0;margin-top:-43.05pt;width:587.65pt;height:45.85pt;z-index:487615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" filled="f" stroked="f">
                <v:textbox>
                  <w:txbxContent>
                    <w:p w14:paraId="775DA918" w14:textId="77777777" w:rsidR="00193E07" w:rsidRPr="003702CD" w:rsidRDefault="00C22EA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>
                        <w:rPr>
                          <w:rFonts w:cs="Arial"/>
                          <w:color w:val="FFFFFF"/>
                          <w:sz w:val="60"/>
                        </w:rPr>
                        <w:t>PROTOCOLO</w:t>
                      </w:r>
                    </w:p>
                    <w:p w14:paraId="5F2CE3B2" w14:textId="77777777" w:rsidR="00193E07" w:rsidRDefault="00193E07"/>
                    <w:p w14:paraId="582805BE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2714150" w14:textId="77777777" w:rsidR="00193E07" w:rsidRDefault="00193E07"/>
                    <w:p w14:paraId="1DE35422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351F6D6D" w14:textId="77777777" w:rsidR="00193E07" w:rsidRDefault="00193E07"/>
                    <w:p w14:paraId="11B5B69B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032B2125" w14:textId="77777777" w:rsidR="00193E07" w:rsidRDefault="00193E07"/>
                    <w:p w14:paraId="28A32AD6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6AF1589" w14:textId="77777777" w:rsidR="00193E07" w:rsidRDefault="00193E07"/>
                    <w:p w14:paraId="55D9DF51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22590942" w14:textId="77777777" w:rsidR="00193E07" w:rsidRDefault="00193E07"/>
                    <w:p w14:paraId="4CC4F2DB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3AA59925" w14:textId="77777777" w:rsidR="00193E07" w:rsidRDefault="00193E07"/>
                    <w:p w14:paraId="7DF0F542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FFDD67F" w14:textId="77777777" w:rsidR="00193E07" w:rsidRDefault="00193E07"/>
                    <w:p w14:paraId="681A80CE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5BCC414A" w14:textId="77777777" w:rsidR="00193E07" w:rsidRDefault="00193E07"/>
                    <w:p w14:paraId="45F1A7A6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62B95721" w14:textId="77777777" w:rsidR="00193E07" w:rsidRDefault="00193E07"/>
                    <w:p w14:paraId="7B50864B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5B3CEE5F" w14:textId="77777777" w:rsidR="00193E07" w:rsidRDefault="00193E07"/>
                    <w:p w14:paraId="4B91878E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290A32A5" w14:textId="77777777" w:rsidR="00193E07" w:rsidRDefault="00193E07"/>
                    <w:p w14:paraId="0745B88A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8C53C62" w14:textId="77777777" w:rsidR="00193E07" w:rsidRDefault="00193E07"/>
                    <w:p w14:paraId="61AA428F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5BC84250" w14:textId="77777777" w:rsidR="00193E07" w:rsidRDefault="00193E07"/>
                    <w:p w14:paraId="2CA4D327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BBCD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459665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4B8F63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6C9B20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2BFBCE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0BE447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E54F6D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8FB5F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04455E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89FD63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6EA7D6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CDAE9A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542C62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DB94E4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8FD519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92FC62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8D0A34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714929D" w14:textId="77777777" w:rsidR="00124C36" w:rsidRDefault="001256BF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47C0FC08" wp14:editId="5191912D">
                <wp:simplePos x="0" y="0"/>
                <wp:positionH relativeFrom="margin">
                  <wp:posOffset>-48895</wp:posOffset>
                </wp:positionH>
                <wp:positionV relativeFrom="paragraph">
                  <wp:posOffset>111125</wp:posOffset>
                </wp:positionV>
                <wp:extent cx="6705600" cy="2457450"/>
                <wp:effectExtent l="0" t="0" r="0" b="0"/>
                <wp:wrapNone/>
                <wp:docPr id="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45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F248" w14:textId="77777777" w:rsidR="00662369" w:rsidRDefault="00662369" w:rsidP="00662369">
                            <w:pPr>
                              <w:rPr>
                                <w:rFonts w:eastAsia="Arial" w:cs="Arial"/>
                                <w:sz w:val="22"/>
                              </w:rPr>
                            </w:pPr>
                          </w:p>
                          <w:p w14:paraId="0C5D98B7" w14:textId="77777777" w:rsidR="00662369" w:rsidRDefault="00662369" w:rsidP="00FE1AC9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PROTOCOLO DE MANEJO DE HIPERKALEMIA</w:t>
                            </w:r>
                          </w:p>
                          <w:p w14:paraId="7DB84EF6" w14:textId="77777777" w:rsidR="00662369" w:rsidRDefault="00662369" w:rsidP="0066236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EN ENFERMEDAD RENAL CRÓNICA</w:t>
                            </w:r>
                          </w:p>
                          <w:p w14:paraId="22BA3332" w14:textId="77777777" w:rsidR="00662369" w:rsidRDefault="00662369" w:rsidP="0066236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(ERC)</w:t>
                            </w:r>
                          </w:p>
                          <w:p w14:paraId="4757DBB2" w14:textId="77777777" w:rsidR="00914134" w:rsidRDefault="00914134" w:rsidP="00914134"/>
                          <w:p w14:paraId="6416EAA4" w14:textId="77777777" w:rsidR="007E5861" w:rsidRDefault="007E5861" w:rsidP="007E5861"/>
                          <w:p w14:paraId="5E347BDB" w14:textId="77777777" w:rsidR="007E5861" w:rsidRDefault="007E5861" w:rsidP="007E5861"/>
                          <w:p w14:paraId="1E805814" w14:textId="77777777" w:rsidR="007E5861" w:rsidRDefault="007E5861" w:rsidP="007E5861"/>
                          <w:p w14:paraId="3CBFB0BC" w14:textId="77777777" w:rsidR="007E5861" w:rsidRDefault="007E5861" w:rsidP="007E5861"/>
                          <w:p w14:paraId="5D1085F7" w14:textId="4DC5FD48" w:rsidR="00193E07" w:rsidRPr="00CC5AC1" w:rsidRDefault="00193E07" w:rsidP="00CC5AC1">
                            <w:pPr>
                              <w:jc w:val="center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0FC08" id="_x0000_s1027" type="#_x0000_t202" style="position:absolute;left:0;text-align:left;margin-left:-3.85pt;margin-top:8.75pt;width:528pt;height:193.5pt;z-index:48764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" filled="f" stroked="f">
                <v:textbox>
                  <w:txbxContent>
                    <w:p w14:paraId="6CEAF248" w14:textId="77777777" w:rsidR="00662369" w:rsidRDefault="00662369" w:rsidP="00662369">
                      <w:pPr>
                        <w:rPr>
                          <w:rFonts w:eastAsia="Arial" w:cs="Arial"/>
                          <w:sz w:val="22"/>
                        </w:rPr>
                      </w:pPr>
                    </w:p>
                    <w:p w14:paraId="0C5D98B7" w14:textId="77777777" w:rsidR="00662369" w:rsidRDefault="00662369" w:rsidP="00FE1AC9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PROTOCOLO DE MANEJO DE HIPERKALEMIA</w:t>
                      </w:r>
                    </w:p>
                    <w:p w14:paraId="7DB84EF6" w14:textId="77777777" w:rsidR="00662369" w:rsidRDefault="00662369" w:rsidP="0066236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EN ENFERMEDAD RENAL CRÓNICA</w:t>
                      </w:r>
                    </w:p>
                    <w:p w14:paraId="22BA3332" w14:textId="77777777" w:rsidR="00662369" w:rsidRDefault="00662369" w:rsidP="0066236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(ERC)</w:t>
                      </w:r>
                    </w:p>
                    <w:p w14:paraId="4757DBB2" w14:textId="77777777" w:rsidR="00914134" w:rsidRDefault="00914134" w:rsidP="00914134"/>
                    <w:p w14:paraId="6416EAA4" w14:textId="77777777" w:rsidR="007E5861" w:rsidRDefault="007E5861" w:rsidP="007E5861"/>
                    <w:p w14:paraId="5E347BDB" w14:textId="77777777" w:rsidR="007E5861" w:rsidRDefault="007E5861" w:rsidP="007E5861"/>
                    <w:p w14:paraId="1E805814" w14:textId="77777777" w:rsidR="007E5861" w:rsidRDefault="007E5861" w:rsidP="007E5861"/>
                    <w:p w14:paraId="3CBFB0BC" w14:textId="77777777" w:rsidR="007E5861" w:rsidRDefault="007E5861" w:rsidP="007E5861"/>
                    <w:p w14:paraId="5D1085F7" w14:textId="4DC5FD48" w:rsidR="00193E07" w:rsidRPr="00CC5AC1" w:rsidRDefault="00193E07" w:rsidP="00CC5AC1">
                      <w:pPr>
                        <w:jc w:val="center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49774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730FA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52C608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2809D7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B25F0CA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9935A5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4FC7C3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5370D7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0BADC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7174DB7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40D40D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B7C7BE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1A9141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E73CC4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B6FD207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BD9060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FC9DA5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DCA2F9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090BAF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B60E94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FE2ED7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FBCBFE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71ADA4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C35D6ED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8830DDA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6B7302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CBFE8D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955612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B7D844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947EFC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7C6A5A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ACD8A8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A491460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09F4F7D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AB9331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DEAF56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9D4E1F6" w14:textId="72FE3EA0" w:rsidR="00124C36" w:rsidRDefault="00D53BE8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/>
          <w:noProof/>
          <w:sz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487618560" behindDoc="1" locked="0" layoutInCell="1" allowOverlap="1" wp14:anchorId="587B561F" wp14:editId="2F827C4F">
                <wp:simplePos x="0" y="0"/>
                <wp:positionH relativeFrom="column">
                  <wp:posOffset>4704080</wp:posOffset>
                </wp:positionH>
                <wp:positionV relativeFrom="paragraph">
                  <wp:posOffset>81915</wp:posOffset>
                </wp:positionV>
                <wp:extent cx="3336290" cy="2609850"/>
                <wp:effectExtent l="0" t="0" r="0" b="0"/>
                <wp:wrapNone/>
                <wp:docPr id="26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290" cy="2609850"/>
                        </a:xfrm>
                        <a:prstGeom prst="rect">
                          <a:avLst/>
                        </a:prstGeom>
                        <a:solidFill>
                          <a:srgbClr val="66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BBB5EC5" id="Rectangle 187" o:spid="_x0000_s1026" style="position:absolute;margin-left:370.4pt;margin-top:6.45pt;width:262.7pt;height:205.5pt;z-index:-156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" fillcolor="#699" stroked="f"/>
            </w:pict>
          </mc:Fallback>
        </mc:AlternateContent>
      </w:r>
      <w:r w:rsidRPr="00124C36">
        <w:rPr>
          <w:rFonts w:ascii="Times New Roman"/>
          <w:noProof/>
          <w:sz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487617536" behindDoc="1" locked="0" layoutInCell="1" allowOverlap="1" wp14:anchorId="39ABCADA" wp14:editId="0835D3F0">
                <wp:simplePos x="0" y="0"/>
                <wp:positionH relativeFrom="column">
                  <wp:posOffset>-601345</wp:posOffset>
                </wp:positionH>
                <wp:positionV relativeFrom="paragraph">
                  <wp:posOffset>91440</wp:posOffset>
                </wp:positionV>
                <wp:extent cx="7991475" cy="2620645"/>
                <wp:effectExtent l="0" t="0" r="9525" b="8255"/>
                <wp:wrapNone/>
                <wp:docPr id="11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1475" cy="262064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F485B54" id="Rectangle 186" o:spid="_x0000_s1026" style="position:absolute;margin-left:-47.35pt;margin-top:7.2pt;width:629.25pt;height:206.35pt;z-index:-156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" fillcolor="#736363" stroked="f"/>
            </w:pict>
          </mc:Fallback>
        </mc:AlternateContent>
      </w:r>
    </w:p>
    <w:p w14:paraId="16ED4BAC" w14:textId="3F6724DE" w:rsidR="00124C36" w:rsidRDefault="00124C36">
      <w:pPr>
        <w:pStyle w:val="Textoindependiente"/>
        <w:rPr>
          <w:rFonts w:ascii="Times New Roman"/>
          <w:sz w:val="14"/>
        </w:rPr>
      </w:pPr>
    </w:p>
    <w:p w14:paraId="287CCCE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6CD24A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7036AF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92A5E56" w14:textId="77777777" w:rsidR="00124C36" w:rsidRDefault="00D53BE8">
      <w:pPr>
        <w:pStyle w:val="Textoindependiente"/>
        <w:rPr>
          <w:rFonts w:ascii="Times New Roman"/>
          <w:sz w:val="14"/>
        </w:rPr>
      </w:pPr>
      <w:r w:rsidRPr="005F5AE4">
        <w:rPr>
          <w:noProof/>
          <w:lang w:val="es-CO" w:eastAsia="es-CO"/>
        </w:rPr>
        <mc:AlternateContent>
          <mc:Choice Requires="wps">
            <w:drawing>
              <wp:anchor distT="36576" distB="36576" distL="36576" distR="36576" simplePos="0" relativeHeight="487620608" behindDoc="0" locked="0" layoutInCell="1" allowOverlap="1" wp14:anchorId="0DCC3C48" wp14:editId="6F31534C">
                <wp:simplePos x="0" y="0"/>
                <wp:positionH relativeFrom="column">
                  <wp:posOffset>-544195</wp:posOffset>
                </wp:positionH>
                <wp:positionV relativeFrom="margin">
                  <wp:posOffset>6313805</wp:posOffset>
                </wp:positionV>
                <wp:extent cx="5191125" cy="1714500"/>
                <wp:effectExtent l="0" t="0" r="9525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74EE13" w14:textId="77777777" w:rsidR="004257CF" w:rsidRPr="006F414D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F414D"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EMPRESA SOCIAL DEL ESTADO </w:t>
                            </w:r>
                          </w:p>
                          <w:p w14:paraId="41DE15DC" w14:textId="77777777" w:rsidR="004257CF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F414D"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>HOSPITAL SAN JOSE DE MAICAO</w:t>
                            </w:r>
                          </w:p>
                          <w:p w14:paraId="7FF97348" w14:textId="77777777" w:rsidR="004257CF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FC8939C" w14:textId="77777777" w:rsidR="004257CF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A18A36F" w14:textId="6CD38449" w:rsidR="00193E07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>MAICAO, LA GUAJIRA</w:t>
                            </w:r>
                          </w:p>
                          <w:p w14:paraId="1E42DD0D" w14:textId="77777777" w:rsidR="00193E07" w:rsidRDefault="00193E07" w:rsidP="000A75B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626FBCA" w14:textId="77777777" w:rsidR="00193E07" w:rsidRPr="00004999" w:rsidRDefault="00193E07" w:rsidP="0000499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C3C48" id="Text Box 4" o:spid="_x0000_s1028" type="#_x0000_t202" style="position:absolute;left:0;text-align:left;margin-left:-42.85pt;margin-top:497.15pt;width:408.75pt;height:135pt;z-index:487620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" filled="f" fillcolor="#fffffe" stroked="f" strokecolor="#212120" insetpen="t">
                <v:textbox inset="2.88pt,2.88pt,2.88pt,2.88pt">
                  <w:txbxContent>
                    <w:p w14:paraId="1574EE13" w14:textId="77777777" w:rsidR="004257CF" w:rsidRPr="006F414D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F414D"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EMPRESA SOCIAL DEL ESTADO </w:t>
                      </w:r>
                    </w:p>
                    <w:p w14:paraId="41DE15DC" w14:textId="77777777" w:rsidR="004257CF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F414D"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>HOSPITAL SAN JOSE DE MAICAO</w:t>
                      </w:r>
                    </w:p>
                    <w:p w14:paraId="7FF97348" w14:textId="77777777" w:rsidR="004257CF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FC8939C" w14:textId="77777777" w:rsidR="004257CF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A18A36F" w14:textId="6CD38449" w:rsidR="00193E07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>MAICAO, LA GUAJIRA</w:t>
                      </w:r>
                    </w:p>
                    <w:p w14:paraId="1E42DD0D" w14:textId="77777777" w:rsidR="00193E07" w:rsidRDefault="00193E07" w:rsidP="000A75B7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626FBCA" w14:textId="77777777" w:rsidR="00193E07" w:rsidRPr="00004999" w:rsidRDefault="00193E07" w:rsidP="00004999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97211A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81D5DE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9A9813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6CF5B0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BE3BDA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AEEE29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976B20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998E98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A44777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FA75D9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2BDD8B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82F0E0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03971C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6CE3C8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0F4D61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BC6226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B226811" w14:textId="77777777" w:rsidR="00124C36" w:rsidRDefault="00311613" w:rsidP="00311613">
      <w:pPr>
        <w:pStyle w:val="Textoindependiente"/>
        <w:tabs>
          <w:tab w:val="left" w:pos="9825"/>
        </w:tabs>
        <w:rPr>
          <w:rFonts w:ascii="Times New Roman"/>
          <w:sz w:val="14"/>
        </w:rPr>
      </w:pPr>
      <w:r>
        <w:rPr>
          <w:rFonts w:ascii="Times New Roman"/>
          <w:sz w:val="14"/>
        </w:rPr>
        <w:tab/>
      </w:r>
    </w:p>
    <w:p w14:paraId="11FF12D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181B01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74C7BB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32881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99B247C" w14:textId="77777777" w:rsidR="00C22EA7" w:rsidRDefault="00C22EA7" w:rsidP="00124C36">
      <w:pPr>
        <w:widowControl/>
        <w:tabs>
          <w:tab w:val="left" w:pos="10260"/>
        </w:tabs>
        <w:autoSpaceDE/>
        <w:autoSpaceDN/>
        <w:jc w:val="center"/>
        <w:rPr>
          <w:rFonts w:eastAsia="Batang" w:cs="Arial"/>
          <w:b/>
          <w:bCs/>
          <w:color w:val="669999"/>
          <w:kern w:val="32"/>
          <w:sz w:val="36"/>
          <w:szCs w:val="24"/>
          <w:lang w:val="en-US" w:eastAsia="ko-KR"/>
        </w:rPr>
      </w:pPr>
    </w:p>
    <w:p w14:paraId="0FD36BF6" w14:textId="77777777" w:rsidR="00124C36" w:rsidRPr="00A30333" w:rsidRDefault="00124C36" w:rsidP="00124C36">
      <w:pPr>
        <w:widowControl/>
        <w:tabs>
          <w:tab w:val="left" w:pos="10260"/>
        </w:tabs>
        <w:autoSpaceDE/>
        <w:autoSpaceDN/>
        <w:jc w:val="center"/>
        <w:rPr>
          <w:rFonts w:eastAsia="Batang" w:cs="Arial"/>
          <w:b/>
          <w:bCs/>
          <w:color w:val="669999"/>
          <w:kern w:val="32"/>
          <w:sz w:val="36"/>
          <w:szCs w:val="24"/>
          <w:lang w:val="es-CO" w:eastAsia="ko-KR"/>
        </w:rPr>
      </w:pPr>
      <w:r w:rsidRPr="00A30333">
        <w:rPr>
          <w:rFonts w:eastAsia="Batang" w:cs="Arial"/>
          <w:b/>
          <w:bCs/>
          <w:color w:val="669999"/>
          <w:kern w:val="32"/>
          <w:sz w:val="36"/>
          <w:szCs w:val="24"/>
          <w:lang w:val="es-CO" w:eastAsia="ko-KR"/>
        </w:rPr>
        <w:lastRenderedPageBreak/>
        <w:t>TABLA DE CONTENIDO</w:t>
      </w:r>
    </w:p>
    <w:p w14:paraId="3CE177B6" w14:textId="77777777" w:rsidR="00C22EA7" w:rsidRPr="00A30333" w:rsidRDefault="00C22EA7" w:rsidP="00124C36">
      <w:pPr>
        <w:widowControl/>
        <w:tabs>
          <w:tab w:val="left" w:pos="10260"/>
        </w:tabs>
        <w:autoSpaceDE/>
        <w:autoSpaceDN/>
        <w:jc w:val="center"/>
        <w:rPr>
          <w:rFonts w:eastAsia="Batang" w:cs="Arial"/>
          <w:b/>
          <w:bCs/>
          <w:color w:val="669999"/>
          <w:kern w:val="32"/>
          <w:sz w:val="36"/>
          <w:szCs w:val="24"/>
          <w:lang w:val="es-CO" w:eastAsia="ko-KR"/>
        </w:rPr>
      </w:pPr>
    </w:p>
    <w:sdt>
      <w:sdtPr>
        <w:rPr>
          <w:rFonts w:ascii="Arial" w:eastAsia="Arial MT" w:hAnsi="Arial" w:cs="Arial MT"/>
          <w:color w:val="auto"/>
          <w:sz w:val="24"/>
          <w:szCs w:val="22"/>
          <w:lang w:val="es-MX" w:eastAsia="en-US"/>
        </w:rPr>
        <w:id w:val="-6754120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59E76C" w14:textId="70985AB4" w:rsidR="00A30333" w:rsidRDefault="00A30333">
          <w:pPr>
            <w:pStyle w:val="TtuloTDC"/>
          </w:pPr>
        </w:p>
        <w:p w14:paraId="0E0463E9" w14:textId="65D12F40" w:rsidR="00FE1AC9" w:rsidRDefault="00A30333">
          <w:pPr>
            <w:pStyle w:val="TDC1"/>
            <w:tabs>
              <w:tab w:val="right" w:leader="dot" w:pos="891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290365" w:history="1">
            <w:r w:rsidR="00FE1AC9" w:rsidRPr="00D41274">
              <w:rPr>
                <w:rStyle w:val="Hipervnculo"/>
                <w:noProof/>
              </w:rPr>
              <w:t>1. OBJETIVOS</w:t>
            </w:r>
            <w:r w:rsidR="00FE1AC9">
              <w:rPr>
                <w:noProof/>
                <w:webHidden/>
              </w:rPr>
              <w:tab/>
            </w:r>
            <w:r w:rsidR="00FE1AC9">
              <w:rPr>
                <w:noProof/>
                <w:webHidden/>
              </w:rPr>
              <w:fldChar w:fldCharType="begin"/>
            </w:r>
            <w:r w:rsidR="00FE1AC9">
              <w:rPr>
                <w:noProof/>
                <w:webHidden/>
              </w:rPr>
              <w:instrText xml:space="preserve"> PAGEREF _Toc219290365 \h </w:instrText>
            </w:r>
            <w:r w:rsidR="00FE1AC9">
              <w:rPr>
                <w:noProof/>
                <w:webHidden/>
              </w:rPr>
            </w:r>
            <w:r w:rsidR="00FE1AC9">
              <w:rPr>
                <w:noProof/>
                <w:webHidden/>
              </w:rPr>
              <w:fldChar w:fldCharType="separate"/>
            </w:r>
            <w:r w:rsidR="00FE1AC9">
              <w:rPr>
                <w:noProof/>
                <w:webHidden/>
              </w:rPr>
              <w:t>3</w:t>
            </w:r>
            <w:r w:rsidR="00FE1AC9">
              <w:rPr>
                <w:noProof/>
                <w:webHidden/>
              </w:rPr>
              <w:fldChar w:fldCharType="end"/>
            </w:r>
          </w:hyperlink>
        </w:p>
        <w:p w14:paraId="5979986A" w14:textId="2D510CF0" w:rsidR="00FE1AC9" w:rsidRDefault="00AE415D">
          <w:pPr>
            <w:pStyle w:val="TDC1"/>
            <w:tabs>
              <w:tab w:val="right" w:leader="dot" w:pos="891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0366" w:history="1">
            <w:r w:rsidR="00FE1AC9" w:rsidRPr="00D41274">
              <w:rPr>
                <w:rStyle w:val="Hipervnculo"/>
                <w:noProof/>
              </w:rPr>
              <w:t>2. DEFINICION</w:t>
            </w:r>
            <w:r w:rsidR="00FE1AC9">
              <w:rPr>
                <w:noProof/>
                <w:webHidden/>
              </w:rPr>
              <w:tab/>
            </w:r>
            <w:r w:rsidR="00FE1AC9">
              <w:rPr>
                <w:noProof/>
                <w:webHidden/>
              </w:rPr>
              <w:fldChar w:fldCharType="begin"/>
            </w:r>
            <w:r w:rsidR="00FE1AC9">
              <w:rPr>
                <w:noProof/>
                <w:webHidden/>
              </w:rPr>
              <w:instrText xml:space="preserve"> PAGEREF _Toc219290366 \h </w:instrText>
            </w:r>
            <w:r w:rsidR="00FE1AC9">
              <w:rPr>
                <w:noProof/>
                <w:webHidden/>
              </w:rPr>
            </w:r>
            <w:r w:rsidR="00FE1AC9">
              <w:rPr>
                <w:noProof/>
                <w:webHidden/>
              </w:rPr>
              <w:fldChar w:fldCharType="separate"/>
            </w:r>
            <w:r w:rsidR="00FE1AC9">
              <w:rPr>
                <w:noProof/>
                <w:webHidden/>
              </w:rPr>
              <w:t>3</w:t>
            </w:r>
            <w:r w:rsidR="00FE1AC9">
              <w:rPr>
                <w:noProof/>
                <w:webHidden/>
              </w:rPr>
              <w:fldChar w:fldCharType="end"/>
            </w:r>
          </w:hyperlink>
        </w:p>
        <w:p w14:paraId="28D9123F" w14:textId="14940DAA" w:rsidR="00FE1AC9" w:rsidRDefault="00AE415D">
          <w:pPr>
            <w:pStyle w:val="TDC1"/>
            <w:tabs>
              <w:tab w:val="right" w:leader="dot" w:pos="891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0367" w:history="1">
            <w:r w:rsidR="00FE1AC9" w:rsidRPr="00D41274">
              <w:rPr>
                <w:rStyle w:val="Hipervnculo"/>
                <w:noProof/>
                <w:lang w:val="es-MX"/>
              </w:rPr>
              <w:t>3.  CLASIFICACION</w:t>
            </w:r>
            <w:r w:rsidR="00FE1AC9">
              <w:rPr>
                <w:noProof/>
                <w:webHidden/>
              </w:rPr>
              <w:tab/>
            </w:r>
            <w:r w:rsidR="00FE1AC9">
              <w:rPr>
                <w:noProof/>
                <w:webHidden/>
              </w:rPr>
              <w:fldChar w:fldCharType="begin"/>
            </w:r>
            <w:r w:rsidR="00FE1AC9">
              <w:rPr>
                <w:noProof/>
                <w:webHidden/>
              </w:rPr>
              <w:instrText xml:space="preserve"> PAGEREF _Toc219290367 \h </w:instrText>
            </w:r>
            <w:r w:rsidR="00FE1AC9">
              <w:rPr>
                <w:noProof/>
                <w:webHidden/>
              </w:rPr>
            </w:r>
            <w:r w:rsidR="00FE1AC9">
              <w:rPr>
                <w:noProof/>
                <w:webHidden/>
              </w:rPr>
              <w:fldChar w:fldCharType="separate"/>
            </w:r>
            <w:r w:rsidR="00FE1AC9">
              <w:rPr>
                <w:noProof/>
                <w:webHidden/>
              </w:rPr>
              <w:t>3</w:t>
            </w:r>
            <w:r w:rsidR="00FE1AC9">
              <w:rPr>
                <w:noProof/>
                <w:webHidden/>
              </w:rPr>
              <w:fldChar w:fldCharType="end"/>
            </w:r>
          </w:hyperlink>
        </w:p>
        <w:p w14:paraId="2A9DB868" w14:textId="4CB2AF5F" w:rsidR="00FE1AC9" w:rsidRDefault="00AE415D">
          <w:pPr>
            <w:pStyle w:val="TDC1"/>
            <w:tabs>
              <w:tab w:val="right" w:leader="dot" w:pos="891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0368" w:history="1">
            <w:r w:rsidR="00FE1AC9" w:rsidRPr="00D41274">
              <w:rPr>
                <w:rStyle w:val="Hipervnculo"/>
                <w:noProof/>
                <w:lang w:val="es-MX"/>
              </w:rPr>
              <w:t>4. ETIOLOGIA</w:t>
            </w:r>
            <w:r w:rsidR="00FE1AC9">
              <w:rPr>
                <w:noProof/>
                <w:webHidden/>
              </w:rPr>
              <w:tab/>
            </w:r>
            <w:r w:rsidR="00FE1AC9">
              <w:rPr>
                <w:noProof/>
                <w:webHidden/>
              </w:rPr>
              <w:fldChar w:fldCharType="begin"/>
            </w:r>
            <w:r w:rsidR="00FE1AC9">
              <w:rPr>
                <w:noProof/>
                <w:webHidden/>
              </w:rPr>
              <w:instrText xml:space="preserve"> PAGEREF _Toc219290368 \h </w:instrText>
            </w:r>
            <w:r w:rsidR="00FE1AC9">
              <w:rPr>
                <w:noProof/>
                <w:webHidden/>
              </w:rPr>
            </w:r>
            <w:r w:rsidR="00FE1AC9">
              <w:rPr>
                <w:noProof/>
                <w:webHidden/>
              </w:rPr>
              <w:fldChar w:fldCharType="separate"/>
            </w:r>
            <w:r w:rsidR="00FE1AC9">
              <w:rPr>
                <w:noProof/>
                <w:webHidden/>
              </w:rPr>
              <w:t>5</w:t>
            </w:r>
            <w:r w:rsidR="00FE1AC9">
              <w:rPr>
                <w:noProof/>
                <w:webHidden/>
              </w:rPr>
              <w:fldChar w:fldCharType="end"/>
            </w:r>
          </w:hyperlink>
        </w:p>
        <w:p w14:paraId="7FB82620" w14:textId="2F4EC0E0" w:rsidR="00FE1AC9" w:rsidRDefault="00AE415D">
          <w:pPr>
            <w:pStyle w:val="TDC1"/>
            <w:tabs>
              <w:tab w:val="right" w:leader="dot" w:pos="891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0369" w:history="1">
            <w:r w:rsidR="00FE1AC9" w:rsidRPr="00D41274">
              <w:rPr>
                <w:rStyle w:val="Hipervnculo"/>
                <w:noProof/>
                <w:lang w:val="es-MX"/>
              </w:rPr>
              <w:t xml:space="preserve">5. </w:t>
            </w:r>
            <w:r w:rsidR="00FE1AC9" w:rsidRPr="00D41274">
              <w:rPr>
                <w:rStyle w:val="Hipervnculo"/>
                <w:noProof/>
              </w:rPr>
              <w:t>EVALUACIÓN INICIAL (DETALLADA PARA MÉDICOS GENERALES</w:t>
            </w:r>
            <w:r w:rsidR="00FE1AC9">
              <w:rPr>
                <w:noProof/>
                <w:webHidden/>
              </w:rPr>
              <w:tab/>
            </w:r>
            <w:r w:rsidR="00FE1AC9">
              <w:rPr>
                <w:noProof/>
                <w:webHidden/>
              </w:rPr>
              <w:fldChar w:fldCharType="begin"/>
            </w:r>
            <w:r w:rsidR="00FE1AC9">
              <w:rPr>
                <w:noProof/>
                <w:webHidden/>
              </w:rPr>
              <w:instrText xml:space="preserve"> PAGEREF _Toc219290369 \h </w:instrText>
            </w:r>
            <w:r w:rsidR="00FE1AC9">
              <w:rPr>
                <w:noProof/>
                <w:webHidden/>
              </w:rPr>
            </w:r>
            <w:r w:rsidR="00FE1AC9">
              <w:rPr>
                <w:noProof/>
                <w:webHidden/>
              </w:rPr>
              <w:fldChar w:fldCharType="separate"/>
            </w:r>
            <w:r w:rsidR="00FE1AC9">
              <w:rPr>
                <w:noProof/>
                <w:webHidden/>
              </w:rPr>
              <w:t>5</w:t>
            </w:r>
            <w:r w:rsidR="00FE1AC9">
              <w:rPr>
                <w:noProof/>
                <w:webHidden/>
              </w:rPr>
              <w:fldChar w:fldCharType="end"/>
            </w:r>
          </w:hyperlink>
        </w:p>
        <w:p w14:paraId="569B8A3E" w14:textId="65468739" w:rsidR="00FE1AC9" w:rsidRDefault="00AE415D">
          <w:pPr>
            <w:pStyle w:val="TDC1"/>
            <w:tabs>
              <w:tab w:val="right" w:leader="dot" w:pos="891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0370" w:history="1">
            <w:r w:rsidR="00FE1AC9" w:rsidRPr="00D41274">
              <w:rPr>
                <w:rStyle w:val="Hipervnculo"/>
                <w:noProof/>
                <w:lang w:val="es-MX"/>
              </w:rPr>
              <w:t xml:space="preserve">6. </w:t>
            </w:r>
            <w:r w:rsidR="00FE1AC9" w:rsidRPr="00D41274">
              <w:rPr>
                <w:rStyle w:val="Hipervnculo"/>
                <w:noProof/>
              </w:rPr>
              <w:t>ESTRATIFICACIÓN DEL RIESGO Y MANEJO SEGÚN SEVERIDAD</w:t>
            </w:r>
            <w:r w:rsidR="00FE1AC9">
              <w:rPr>
                <w:noProof/>
                <w:webHidden/>
              </w:rPr>
              <w:tab/>
            </w:r>
            <w:r w:rsidR="00FE1AC9">
              <w:rPr>
                <w:noProof/>
                <w:webHidden/>
              </w:rPr>
              <w:fldChar w:fldCharType="begin"/>
            </w:r>
            <w:r w:rsidR="00FE1AC9">
              <w:rPr>
                <w:noProof/>
                <w:webHidden/>
              </w:rPr>
              <w:instrText xml:space="preserve"> PAGEREF _Toc219290370 \h </w:instrText>
            </w:r>
            <w:r w:rsidR="00FE1AC9">
              <w:rPr>
                <w:noProof/>
                <w:webHidden/>
              </w:rPr>
            </w:r>
            <w:r w:rsidR="00FE1AC9">
              <w:rPr>
                <w:noProof/>
                <w:webHidden/>
              </w:rPr>
              <w:fldChar w:fldCharType="separate"/>
            </w:r>
            <w:r w:rsidR="00FE1AC9">
              <w:rPr>
                <w:noProof/>
                <w:webHidden/>
              </w:rPr>
              <w:t>8</w:t>
            </w:r>
            <w:r w:rsidR="00FE1AC9">
              <w:rPr>
                <w:noProof/>
                <w:webHidden/>
              </w:rPr>
              <w:fldChar w:fldCharType="end"/>
            </w:r>
          </w:hyperlink>
        </w:p>
        <w:p w14:paraId="281346AA" w14:textId="70148525" w:rsidR="00FE1AC9" w:rsidRDefault="00AE415D">
          <w:pPr>
            <w:pStyle w:val="TDC1"/>
            <w:tabs>
              <w:tab w:val="right" w:leader="dot" w:pos="891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0371" w:history="1">
            <w:r w:rsidR="00FE1AC9" w:rsidRPr="00D41274">
              <w:rPr>
                <w:rStyle w:val="Hipervnculo"/>
                <w:noProof/>
              </w:rPr>
              <w:t>ELABORACIÓN Y CONTROL DE CAMBIOS</w:t>
            </w:r>
            <w:r w:rsidR="00FE1AC9">
              <w:rPr>
                <w:noProof/>
                <w:webHidden/>
              </w:rPr>
              <w:tab/>
            </w:r>
            <w:r w:rsidR="00FE1AC9">
              <w:rPr>
                <w:noProof/>
                <w:webHidden/>
              </w:rPr>
              <w:fldChar w:fldCharType="begin"/>
            </w:r>
            <w:r w:rsidR="00FE1AC9">
              <w:rPr>
                <w:noProof/>
                <w:webHidden/>
              </w:rPr>
              <w:instrText xml:space="preserve"> PAGEREF _Toc219290371 \h </w:instrText>
            </w:r>
            <w:r w:rsidR="00FE1AC9">
              <w:rPr>
                <w:noProof/>
                <w:webHidden/>
              </w:rPr>
            </w:r>
            <w:r w:rsidR="00FE1AC9">
              <w:rPr>
                <w:noProof/>
                <w:webHidden/>
              </w:rPr>
              <w:fldChar w:fldCharType="separate"/>
            </w:r>
            <w:r w:rsidR="00FE1AC9">
              <w:rPr>
                <w:noProof/>
                <w:webHidden/>
              </w:rPr>
              <w:t>16</w:t>
            </w:r>
            <w:r w:rsidR="00FE1AC9">
              <w:rPr>
                <w:noProof/>
                <w:webHidden/>
              </w:rPr>
              <w:fldChar w:fldCharType="end"/>
            </w:r>
          </w:hyperlink>
        </w:p>
        <w:p w14:paraId="7F1013FD" w14:textId="068AAEF2" w:rsidR="00A30333" w:rsidRDefault="00A30333">
          <w:r>
            <w:rPr>
              <w:b/>
              <w:bCs/>
              <w:lang w:val="es-MX"/>
            </w:rPr>
            <w:fldChar w:fldCharType="end"/>
          </w:r>
        </w:p>
      </w:sdtContent>
    </w:sdt>
    <w:p w14:paraId="2B726F72" w14:textId="77777777" w:rsidR="00124C36" w:rsidRDefault="00124C36" w:rsidP="00234243">
      <w:pPr>
        <w:pStyle w:val="05Cuerpo"/>
      </w:pPr>
    </w:p>
    <w:p w14:paraId="602A41E0" w14:textId="77777777" w:rsidR="00463364" w:rsidRDefault="00463364" w:rsidP="00234243">
      <w:pPr>
        <w:pStyle w:val="05Cuerpo"/>
      </w:pPr>
    </w:p>
    <w:p w14:paraId="502E29EE" w14:textId="77777777" w:rsidR="00463364" w:rsidRDefault="00463364" w:rsidP="00234243">
      <w:pPr>
        <w:pStyle w:val="05Cuerpo"/>
      </w:pPr>
    </w:p>
    <w:p w14:paraId="160B7D75" w14:textId="77777777" w:rsidR="00463364" w:rsidRDefault="00463364" w:rsidP="00234243">
      <w:pPr>
        <w:pStyle w:val="05Cuerpo"/>
      </w:pPr>
    </w:p>
    <w:p w14:paraId="51D8BDDB" w14:textId="77777777" w:rsidR="00463364" w:rsidRDefault="00463364" w:rsidP="00234243">
      <w:pPr>
        <w:pStyle w:val="05Cuerpo"/>
      </w:pPr>
    </w:p>
    <w:p w14:paraId="02F857EC" w14:textId="77777777" w:rsidR="00463364" w:rsidRDefault="00463364" w:rsidP="00234243">
      <w:pPr>
        <w:pStyle w:val="05Cuerpo"/>
      </w:pPr>
    </w:p>
    <w:p w14:paraId="0C51B8A7" w14:textId="77777777" w:rsidR="00463364" w:rsidRDefault="00463364" w:rsidP="00234243">
      <w:pPr>
        <w:pStyle w:val="05Cuerpo"/>
      </w:pPr>
    </w:p>
    <w:p w14:paraId="36258FD3" w14:textId="77777777" w:rsidR="00463364" w:rsidRDefault="00463364" w:rsidP="00234243">
      <w:pPr>
        <w:pStyle w:val="05Cuerpo"/>
      </w:pPr>
    </w:p>
    <w:p w14:paraId="5A0B621D" w14:textId="77777777" w:rsidR="00463364" w:rsidRDefault="00463364" w:rsidP="00234243">
      <w:pPr>
        <w:pStyle w:val="05Cuerpo"/>
      </w:pPr>
    </w:p>
    <w:p w14:paraId="01BFE69A" w14:textId="77777777" w:rsidR="00463364" w:rsidRDefault="00463364" w:rsidP="00234243">
      <w:pPr>
        <w:pStyle w:val="05Cuerpo"/>
      </w:pPr>
    </w:p>
    <w:p w14:paraId="39FE6349" w14:textId="77777777" w:rsidR="00463364" w:rsidRDefault="00463364" w:rsidP="00234243">
      <w:pPr>
        <w:pStyle w:val="05Cuerpo"/>
      </w:pPr>
    </w:p>
    <w:p w14:paraId="6F33A9FB" w14:textId="77777777" w:rsidR="00463364" w:rsidRDefault="00463364" w:rsidP="00234243">
      <w:pPr>
        <w:pStyle w:val="05Cuerpo"/>
      </w:pPr>
    </w:p>
    <w:p w14:paraId="2C0CF773" w14:textId="77777777" w:rsidR="00463364" w:rsidRDefault="00463364" w:rsidP="00234243">
      <w:pPr>
        <w:pStyle w:val="05Cuerpo"/>
      </w:pPr>
    </w:p>
    <w:p w14:paraId="087DB499" w14:textId="77777777" w:rsidR="00463364" w:rsidRDefault="00463364" w:rsidP="00234243">
      <w:pPr>
        <w:pStyle w:val="05Cuerpo"/>
      </w:pPr>
    </w:p>
    <w:p w14:paraId="5985FF70" w14:textId="77777777" w:rsidR="00463364" w:rsidRDefault="00463364" w:rsidP="00234243">
      <w:pPr>
        <w:pStyle w:val="05Cuerpo"/>
      </w:pPr>
    </w:p>
    <w:p w14:paraId="04A54BD3" w14:textId="77777777" w:rsidR="00463364" w:rsidRDefault="00463364" w:rsidP="00234243">
      <w:pPr>
        <w:pStyle w:val="05Cuerpo"/>
      </w:pPr>
    </w:p>
    <w:p w14:paraId="545A92DA" w14:textId="77777777" w:rsidR="00463364" w:rsidRDefault="00463364" w:rsidP="00234243">
      <w:pPr>
        <w:pStyle w:val="05Cuerpo"/>
      </w:pPr>
    </w:p>
    <w:p w14:paraId="31C08DB0" w14:textId="77777777" w:rsidR="00463364" w:rsidRDefault="00463364" w:rsidP="00234243">
      <w:pPr>
        <w:pStyle w:val="05Cuerpo"/>
      </w:pPr>
    </w:p>
    <w:p w14:paraId="43086045" w14:textId="70757008" w:rsidR="00463364" w:rsidRDefault="00463364" w:rsidP="00234243">
      <w:pPr>
        <w:pStyle w:val="05Cuerpo"/>
      </w:pPr>
    </w:p>
    <w:p w14:paraId="6457CEE0" w14:textId="69305E4A" w:rsidR="004A714E" w:rsidRDefault="004A714E" w:rsidP="00234243">
      <w:pPr>
        <w:pStyle w:val="05Cuerpo"/>
      </w:pPr>
    </w:p>
    <w:p w14:paraId="7F9E2721" w14:textId="71500C8E" w:rsidR="004A714E" w:rsidRDefault="004A714E" w:rsidP="00234243">
      <w:pPr>
        <w:pStyle w:val="05Cuerpo"/>
      </w:pPr>
    </w:p>
    <w:p w14:paraId="26FE8F42" w14:textId="0ECAB191" w:rsidR="004A714E" w:rsidRDefault="004A714E" w:rsidP="00234243">
      <w:pPr>
        <w:pStyle w:val="05Cuerpo"/>
      </w:pPr>
    </w:p>
    <w:p w14:paraId="110AD24F" w14:textId="6732D0E0" w:rsidR="004A714E" w:rsidRDefault="004A714E" w:rsidP="00234243">
      <w:pPr>
        <w:pStyle w:val="05Cuerpo"/>
      </w:pPr>
    </w:p>
    <w:p w14:paraId="238419B6" w14:textId="1DDB2A05" w:rsidR="004A714E" w:rsidRDefault="004A714E" w:rsidP="00234243">
      <w:pPr>
        <w:pStyle w:val="05Cuerpo"/>
      </w:pPr>
    </w:p>
    <w:p w14:paraId="7BE7BF8E" w14:textId="04AC9E34" w:rsidR="004A714E" w:rsidRDefault="004A714E" w:rsidP="00234243">
      <w:pPr>
        <w:pStyle w:val="05Cuerpo"/>
      </w:pPr>
    </w:p>
    <w:p w14:paraId="6D3DEEDB" w14:textId="7C0129B6" w:rsidR="004A714E" w:rsidRDefault="004A714E" w:rsidP="00234243">
      <w:pPr>
        <w:pStyle w:val="05Cuerpo"/>
      </w:pPr>
    </w:p>
    <w:p w14:paraId="53AA2985" w14:textId="77777777" w:rsidR="004A714E" w:rsidRDefault="004A714E" w:rsidP="00234243">
      <w:pPr>
        <w:pStyle w:val="05Cuerpo"/>
      </w:pPr>
    </w:p>
    <w:p w14:paraId="33620DE9" w14:textId="77777777" w:rsidR="00463364" w:rsidRDefault="00463364" w:rsidP="00234243">
      <w:pPr>
        <w:pStyle w:val="05Cuerpo"/>
      </w:pPr>
    </w:p>
    <w:p w14:paraId="7E668F66" w14:textId="77777777" w:rsidR="008D0DB9" w:rsidRDefault="008D0DB9" w:rsidP="00234243">
      <w:pPr>
        <w:pStyle w:val="05Cuerpo"/>
      </w:pPr>
    </w:p>
    <w:p w14:paraId="0BE81FD0" w14:textId="6DC31188" w:rsidR="008D0DB9" w:rsidRPr="003E17AF" w:rsidRDefault="008D0DB9" w:rsidP="003E17AF">
      <w:pPr>
        <w:widowControl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val="es-CO" w:eastAsia="es-CO"/>
        </w:rPr>
      </w:pPr>
    </w:p>
    <w:p w14:paraId="63192EB3" w14:textId="77777777" w:rsidR="008D0DB9" w:rsidRDefault="008D0DB9" w:rsidP="00234243">
      <w:pPr>
        <w:pStyle w:val="05Cuerpo"/>
      </w:pPr>
    </w:p>
    <w:p w14:paraId="5821757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6A39040" w14:textId="77777777" w:rsidR="008D0DB9" w:rsidRDefault="008D0DB9" w:rsidP="008D0DB9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663616" behindDoc="0" locked="0" layoutInCell="1" allowOverlap="1" wp14:anchorId="75A785CA" wp14:editId="36C48A73">
                <wp:simplePos x="0" y="0"/>
                <wp:positionH relativeFrom="column">
                  <wp:posOffset>-325120</wp:posOffset>
                </wp:positionH>
                <wp:positionV relativeFrom="paragraph">
                  <wp:posOffset>-188595</wp:posOffset>
                </wp:positionV>
                <wp:extent cx="7644130" cy="400050"/>
                <wp:effectExtent l="0" t="0" r="0" b="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1C87253" w14:textId="0F242C44" w:rsidR="00193E07" w:rsidRPr="003702CD" w:rsidRDefault="007E5861" w:rsidP="003E17AF">
                            <w:pPr>
                              <w:pStyle w:val="Ttulo1"/>
                            </w:pPr>
                            <w:bookmarkStart w:id="0" w:name="_Toc219283565"/>
                            <w:bookmarkStart w:id="1" w:name="_Toc219288205"/>
                            <w:bookmarkStart w:id="2" w:name="_Toc219289438"/>
                            <w:bookmarkStart w:id="3" w:name="_Toc219289952"/>
                            <w:bookmarkStart w:id="4" w:name="_Toc219290365"/>
                            <w:r>
                              <w:t>1</w:t>
                            </w:r>
                            <w:r w:rsidR="00774885" w:rsidRPr="00774885">
                              <w:t>. OBJETIVOS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785CA" id="Rectangle 211" o:spid="_x0000_s1029" style="position:absolute;left:0;text-align:left;margin-left:-25.6pt;margin-top:-14.85pt;width:601.9pt;height:31.5pt;z-index:4876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" fillcolor="#736363" stroked="f" strokeweight="2pt">
                <v:textbox>
                  <w:txbxContent>
                    <w:p w14:paraId="71C87253" w14:textId="0F242C44" w:rsidR="00193E07" w:rsidRPr="003702CD" w:rsidRDefault="007E5861" w:rsidP="003E17AF">
                      <w:pPr>
                        <w:pStyle w:val="Ttulo1"/>
                      </w:pPr>
                      <w:bookmarkStart w:id="5" w:name="_Toc219283565"/>
                      <w:bookmarkStart w:id="6" w:name="_Toc219288205"/>
                      <w:bookmarkStart w:id="7" w:name="_Toc219289438"/>
                      <w:bookmarkStart w:id="8" w:name="_Toc219289952"/>
                      <w:bookmarkStart w:id="9" w:name="_Toc219290365"/>
                      <w:r>
                        <w:t>1</w:t>
                      </w:r>
                      <w:r w:rsidR="00774885" w:rsidRPr="00774885">
                        <w:t>. OBJETIVOS</w:t>
                      </w:r>
                      <w:bookmarkEnd w:id="5"/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rect>
            </w:pict>
          </mc:Fallback>
        </mc:AlternateContent>
      </w:r>
    </w:p>
    <w:p w14:paraId="1BE1A811" w14:textId="77777777" w:rsidR="00DC7174" w:rsidRDefault="00DC7174">
      <w:pPr>
        <w:pStyle w:val="Textoindependiente"/>
        <w:rPr>
          <w:rFonts w:ascii="Times New Roman"/>
          <w:sz w:val="14"/>
        </w:rPr>
      </w:pPr>
    </w:p>
    <w:p w14:paraId="1AA1ED3E" w14:textId="17D56235" w:rsidR="00662369" w:rsidRDefault="00662369" w:rsidP="00662369">
      <w:pPr>
        <w:spacing w:before="68" w:line="279" w:lineRule="auto"/>
        <w:ind w:left="11" w:right="238" w:firstLine="7"/>
        <w:rPr>
          <w:szCs w:val="24"/>
        </w:rPr>
      </w:pPr>
      <w:r>
        <w:rPr>
          <w:szCs w:val="24"/>
        </w:rPr>
        <w:t xml:space="preserve">Desarrollar un protocolo clínico integral para el diagnóstico, prevención y tratamiento de la  </w:t>
      </w:r>
      <w:proofErr w:type="spellStart"/>
      <w:r>
        <w:rPr>
          <w:szCs w:val="24"/>
        </w:rPr>
        <w:t>hiperkalemia</w:t>
      </w:r>
      <w:proofErr w:type="spellEnd"/>
      <w:r>
        <w:rPr>
          <w:szCs w:val="24"/>
        </w:rPr>
        <w:t xml:space="preserve"> en pacientes con Enfermedad Renal Crónica, orientado a optimizar el manejo  multidisciplinario, reducir el riesgo de complicaciones cardiovasculares graves y mejorar los  resultados clínicos, basado en la mejor evidencia científica aceptada en el territorio Colombiano, según las guías de manejo de la Asociación Colombiana de </w:t>
      </w:r>
      <w:r w:rsidR="00FE1AC9">
        <w:rPr>
          <w:szCs w:val="24"/>
        </w:rPr>
        <w:t>Nefrología</w:t>
      </w:r>
      <w:r>
        <w:rPr>
          <w:szCs w:val="24"/>
        </w:rPr>
        <w:t xml:space="preserve"> e </w:t>
      </w:r>
      <w:r w:rsidR="00FE1AC9">
        <w:rPr>
          <w:szCs w:val="24"/>
        </w:rPr>
        <w:t>Hipertensión</w:t>
      </w:r>
      <w:r>
        <w:rPr>
          <w:szCs w:val="24"/>
        </w:rPr>
        <w:t xml:space="preserve"> Arterial, para el diagnóstico y tratamiento, adaptado  a las características específicas de la población atendida en la E</w:t>
      </w:r>
      <w:r w:rsidR="00FE1AC9">
        <w:rPr>
          <w:szCs w:val="24"/>
        </w:rPr>
        <w:t>.</w:t>
      </w:r>
      <w:r>
        <w:rPr>
          <w:szCs w:val="24"/>
        </w:rPr>
        <w:t>S</w:t>
      </w:r>
      <w:r w:rsidR="00FE1AC9">
        <w:rPr>
          <w:szCs w:val="24"/>
        </w:rPr>
        <w:t>.</w:t>
      </w:r>
      <w:r>
        <w:rPr>
          <w:szCs w:val="24"/>
        </w:rPr>
        <w:t xml:space="preserve">E Hospital San </w:t>
      </w:r>
      <w:r w:rsidR="00FE1AC9">
        <w:rPr>
          <w:szCs w:val="24"/>
        </w:rPr>
        <w:t>José</w:t>
      </w:r>
      <w:r>
        <w:rPr>
          <w:szCs w:val="24"/>
        </w:rPr>
        <w:t xml:space="preserve"> de Maicao. </w:t>
      </w:r>
    </w:p>
    <w:p w14:paraId="1A1780FB" w14:textId="727A3FE0" w:rsidR="00774885" w:rsidRDefault="00774885" w:rsidP="00774885">
      <w:pPr>
        <w:pStyle w:val="Encabezado"/>
        <w:tabs>
          <w:tab w:val="left" w:pos="567"/>
        </w:tabs>
        <w:spacing w:after="120"/>
        <w:rPr>
          <w:rFonts w:cs="Arial"/>
          <w:szCs w:val="2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83072" behindDoc="0" locked="0" layoutInCell="1" allowOverlap="1" wp14:anchorId="2D001F31" wp14:editId="78B9643A">
                <wp:simplePos x="0" y="0"/>
                <wp:positionH relativeFrom="column">
                  <wp:posOffset>-315595</wp:posOffset>
                </wp:positionH>
                <wp:positionV relativeFrom="paragraph">
                  <wp:posOffset>245745</wp:posOffset>
                </wp:positionV>
                <wp:extent cx="7644130" cy="400050"/>
                <wp:effectExtent l="0" t="0" r="0" b="0"/>
                <wp:wrapNone/>
                <wp:docPr id="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16EE54" w14:textId="0DE41F44" w:rsidR="00774885" w:rsidRPr="003702CD" w:rsidRDefault="007E5861" w:rsidP="00707551">
                            <w:pPr>
                              <w:pStyle w:val="Ttulo1"/>
                            </w:pPr>
                            <w:bookmarkStart w:id="5" w:name="_Toc219283566"/>
                            <w:bookmarkStart w:id="6" w:name="_Toc219288206"/>
                            <w:bookmarkStart w:id="7" w:name="_Toc219289439"/>
                            <w:bookmarkStart w:id="8" w:name="_Toc219289953"/>
                            <w:bookmarkStart w:id="9" w:name="_Toc219290366"/>
                            <w:r>
                              <w:t>2</w:t>
                            </w:r>
                            <w:r w:rsidR="00774885">
                              <w:t xml:space="preserve">. </w:t>
                            </w:r>
                            <w:bookmarkEnd w:id="5"/>
                            <w:bookmarkEnd w:id="6"/>
                            <w:r w:rsidR="00662369">
                              <w:t>DEFINICION</w:t>
                            </w:r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01F31" id="_x0000_s1030" style="position:absolute;left:0;text-align:left;margin-left:-24.85pt;margin-top:19.35pt;width:601.9pt;height:31.5pt;z-index:4876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" fillcolor="#736363" stroked="f" strokeweight="2pt">
                <v:textbox>
                  <w:txbxContent>
                    <w:p w14:paraId="1716EE54" w14:textId="0DE41F44" w:rsidR="00774885" w:rsidRPr="003702CD" w:rsidRDefault="007E5861" w:rsidP="00707551">
                      <w:pPr>
                        <w:pStyle w:val="Ttulo1"/>
                      </w:pPr>
                      <w:bookmarkStart w:id="15" w:name="_Toc219283566"/>
                      <w:bookmarkStart w:id="16" w:name="_Toc219288206"/>
                      <w:bookmarkStart w:id="17" w:name="_Toc219289439"/>
                      <w:bookmarkStart w:id="18" w:name="_Toc219289953"/>
                      <w:bookmarkStart w:id="19" w:name="_Toc219290366"/>
                      <w:r>
                        <w:t>2</w:t>
                      </w:r>
                      <w:r w:rsidR="00774885">
                        <w:t xml:space="preserve">. </w:t>
                      </w:r>
                      <w:bookmarkEnd w:id="15"/>
                      <w:bookmarkEnd w:id="16"/>
                      <w:r w:rsidR="00662369">
                        <w:t>DEFINICION</w:t>
                      </w:r>
                      <w:bookmarkEnd w:id="17"/>
                      <w:bookmarkEnd w:id="18"/>
                      <w:bookmarkEnd w:id="19"/>
                    </w:p>
                  </w:txbxContent>
                </v:textbox>
              </v:rect>
            </w:pict>
          </mc:Fallback>
        </mc:AlternateContent>
      </w:r>
    </w:p>
    <w:p w14:paraId="12BBCB6B" w14:textId="77777777" w:rsidR="00774885" w:rsidRDefault="00774885" w:rsidP="00774885">
      <w:pPr>
        <w:pStyle w:val="Encabezado"/>
        <w:tabs>
          <w:tab w:val="left" w:pos="567"/>
        </w:tabs>
        <w:spacing w:after="120"/>
        <w:rPr>
          <w:rFonts w:cs="Arial"/>
          <w:szCs w:val="24"/>
        </w:rPr>
      </w:pPr>
    </w:p>
    <w:p w14:paraId="49777E1E" w14:textId="77777777" w:rsidR="00774885" w:rsidRDefault="00774885" w:rsidP="00774885">
      <w:pPr>
        <w:pStyle w:val="Encabezado"/>
        <w:tabs>
          <w:tab w:val="left" w:pos="567"/>
        </w:tabs>
        <w:spacing w:after="120"/>
        <w:rPr>
          <w:rFonts w:cs="Arial"/>
          <w:szCs w:val="24"/>
        </w:rPr>
      </w:pPr>
    </w:p>
    <w:p w14:paraId="307F2A20" w14:textId="03902F5A" w:rsidR="00914134" w:rsidRDefault="00914134" w:rsidP="00914134">
      <w:pPr>
        <w:spacing w:line="360" w:lineRule="auto"/>
        <w:rPr>
          <w:szCs w:val="24"/>
        </w:rPr>
      </w:pPr>
    </w:p>
    <w:p w14:paraId="243D5C13" w14:textId="12496CFC" w:rsidR="00662369" w:rsidRDefault="00662369" w:rsidP="00662369">
      <w:pPr>
        <w:rPr>
          <w:szCs w:val="24"/>
        </w:rPr>
      </w:pPr>
      <w:proofErr w:type="spellStart"/>
      <w:r>
        <w:rPr>
          <w:szCs w:val="24"/>
        </w:rPr>
        <w:t>Hiperkalemia</w:t>
      </w:r>
      <w:proofErr w:type="spellEnd"/>
      <w:r>
        <w:rPr>
          <w:szCs w:val="24"/>
        </w:rPr>
        <w:t xml:space="preserve"> es una condición clínica caracterizada por la elevación de los </w:t>
      </w:r>
      <w:r w:rsidR="00FE1AC9">
        <w:rPr>
          <w:szCs w:val="24"/>
        </w:rPr>
        <w:t>niveles plasmáticos</w:t>
      </w:r>
      <w:r>
        <w:rPr>
          <w:szCs w:val="24"/>
        </w:rPr>
        <w:t xml:space="preserve"> de potasio por encima de los 5.0 mEq/L, lo que puede tener </w:t>
      </w:r>
      <w:proofErr w:type="gramStart"/>
      <w:r>
        <w:rPr>
          <w:szCs w:val="24"/>
        </w:rPr>
        <w:t>repercusiones  graves</w:t>
      </w:r>
      <w:proofErr w:type="gramEnd"/>
      <w:r>
        <w:rPr>
          <w:szCs w:val="24"/>
        </w:rPr>
        <w:t xml:space="preserve"> en la función cardiovascular y neuromuscular. Esta alteración electrolítica </w:t>
      </w:r>
      <w:r w:rsidR="00FE1AC9">
        <w:rPr>
          <w:szCs w:val="24"/>
        </w:rPr>
        <w:t>es particularmente</w:t>
      </w:r>
      <w:r>
        <w:rPr>
          <w:szCs w:val="24"/>
        </w:rPr>
        <w:t xml:space="preserve"> relevante en pacientes con Enfermedad Renal Crónica (ERC), ya que </w:t>
      </w:r>
      <w:r w:rsidR="00FE1AC9">
        <w:rPr>
          <w:szCs w:val="24"/>
        </w:rPr>
        <w:t>la capacidad</w:t>
      </w:r>
      <w:r>
        <w:rPr>
          <w:szCs w:val="24"/>
        </w:rPr>
        <w:t xml:space="preserve"> renal disminuida para excretar potasio, sumada a factores como la alteración </w:t>
      </w:r>
      <w:proofErr w:type="gramStart"/>
      <w:r>
        <w:rPr>
          <w:szCs w:val="24"/>
        </w:rPr>
        <w:t>de  la</w:t>
      </w:r>
      <w:proofErr w:type="gramEnd"/>
      <w:r>
        <w:rPr>
          <w:szCs w:val="24"/>
        </w:rPr>
        <w:t xml:space="preserve"> distribución celular del potasio, el uso de medicamentos como los inhibidores del sistema renina-angiotensina-aldosterona (SRAA), los antagonistas de receptor de mineralocorticoides y la acidosis metabólica, favorecen la  acumulación del ion en el plasma. </w:t>
      </w:r>
    </w:p>
    <w:p w14:paraId="05D70DE3" w14:textId="3747ED25" w:rsidR="00A06FDB" w:rsidRDefault="0080012B" w:rsidP="00463364">
      <w:pPr>
        <w:pStyle w:val="05Cuerpo"/>
      </w:pPr>
      <w:r w:rsidRPr="00124C36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73856" behindDoc="0" locked="0" layoutInCell="1" allowOverlap="1" wp14:anchorId="4047BE49" wp14:editId="75B9AAEC">
                <wp:simplePos x="0" y="0"/>
                <wp:positionH relativeFrom="column">
                  <wp:posOffset>-363220</wp:posOffset>
                </wp:positionH>
                <wp:positionV relativeFrom="paragraph">
                  <wp:posOffset>203835</wp:posOffset>
                </wp:positionV>
                <wp:extent cx="7644130" cy="447675"/>
                <wp:effectExtent l="0" t="0" r="0" b="9525"/>
                <wp:wrapNone/>
                <wp:docPr id="2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4767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EEA6A3" w14:textId="0522E06A" w:rsidR="00193E07" w:rsidRPr="004629B6" w:rsidRDefault="00850B80" w:rsidP="00FD46DC">
                            <w:pPr>
                              <w:pStyle w:val="Ttulo1"/>
                              <w:rPr>
                                <w:lang w:val="es-MX"/>
                              </w:rPr>
                            </w:pPr>
                            <w:bookmarkStart w:id="10" w:name="_Toc219283569"/>
                            <w:bookmarkStart w:id="11" w:name="_Toc219288207"/>
                            <w:bookmarkStart w:id="12" w:name="_Toc219289440"/>
                            <w:bookmarkStart w:id="13" w:name="_Toc219289954"/>
                            <w:bookmarkStart w:id="14" w:name="_Toc219290367"/>
                            <w:r>
                              <w:rPr>
                                <w:lang w:val="es-MX"/>
                              </w:rPr>
                              <w:t>3</w:t>
                            </w:r>
                            <w:r w:rsidR="0080012B">
                              <w:rPr>
                                <w:lang w:val="es-MX"/>
                              </w:rPr>
                              <w:t xml:space="preserve">. </w:t>
                            </w:r>
                            <w:r w:rsidR="004629B6" w:rsidRPr="004629B6">
                              <w:rPr>
                                <w:lang w:val="es-MX"/>
                              </w:rPr>
                              <w:t xml:space="preserve"> </w:t>
                            </w:r>
                            <w:bookmarkEnd w:id="10"/>
                            <w:bookmarkEnd w:id="11"/>
                            <w:r w:rsidR="00662369">
                              <w:rPr>
                                <w:lang w:val="es-MX"/>
                              </w:rPr>
                              <w:t>CLASIFICACION</w:t>
                            </w:r>
                            <w:bookmarkEnd w:id="12"/>
                            <w:bookmarkEnd w:id="13"/>
                            <w:bookmarkEnd w:id="14"/>
                            <w:r w:rsidR="00662369">
                              <w:rPr>
                                <w:lang w:val="es-MX"/>
                              </w:rPr>
                              <w:t xml:space="preserve">  </w:t>
                            </w:r>
                            <w:r w:rsidR="00914134"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7BE49" id="_x0000_s1031" style="position:absolute;left:0;text-align:left;margin-left:-28.6pt;margin-top:16.05pt;width:601.9pt;height:35.25pt;z-index:4876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" fillcolor="#736363" stroked="f" strokeweight="2pt">
                <v:textbox>
                  <w:txbxContent>
                    <w:p w14:paraId="06EEA6A3" w14:textId="0522E06A" w:rsidR="00193E07" w:rsidRPr="004629B6" w:rsidRDefault="00850B80" w:rsidP="00FD46DC">
                      <w:pPr>
                        <w:pStyle w:val="Ttulo1"/>
                        <w:rPr>
                          <w:lang w:val="es-MX"/>
                        </w:rPr>
                      </w:pPr>
                      <w:bookmarkStart w:id="25" w:name="_Toc219283569"/>
                      <w:bookmarkStart w:id="26" w:name="_Toc219288207"/>
                      <w:bookmarkStart w:id="27" w:name="_Toc219289440"/>
                      <w:bookmarkStart w:id="28" w:name="_Toc219289954"/>
                      <w:bookmarkStart w:id="29" w:name="_Toc219290367"/>
                      <w:r>
                        <w:rPr>
                          <w:lang w:val="es-MX"/>
                        </w:rPr>
                        <w:t>3</w:t>
                      </w:r>
                      <w:r w:rsidR="0080012B">
                        <w:rPr>
                          <w:lang w:val="es-MX"/>
                        </w:rPr>
                        <w:t xml:space="preserve">. </w:t>
                      </w:r>
                      <w:r w:rsidR="004629B6" w:rsidRPr="004629B6">
                        <w:rPr>
                          <w:lang w:val="es-MX"/>
                        </w:rPr>
                        <w:t xml:space="preserve"> </w:t>
                      </w:r>
                      <w:bookmarkEnd w:id="25"/>
                      <w:bookmarkEnd w:id="26"/>
                      <w:r w:rsidR="00662369">
                        <w:rPr>
                          <w:lang w:val="es-MX"/>
                        </w:rPr>
                        <w:t>CLASIFICACION</w:t>
                      </w:r>
                      <w:bookmarkEnd w:id="27"/>
                      <w:bookmarkEnd w:id="28"/>
                      <w:bookmarkEnd w:id="29"/>
                      <w:r w:rsidR="00662369">
                        <w:rPr>
                          <w:lang w:val="es-MX"/>
                        </w:rPr>
                        <w:t xml:space="preserve">  </w:t>
                      </w:r>
                      <w:r w:rsidR="00914134">
                        <w:rPr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B39B859" w14:textId="6880CC27" w:rsidR="00BB258F" w:rsidRDefault="00BB258F" w:rsidP="00004999">
      <w:pPr>
        <w:pStyle w:val="05Cuerpo"/>
      </w:pPr>
    </w:p>
    <w:p w14:paraId="1B86DB0C" w14:textId="07732A78" w:rsidR="00463364" w:rsidRDefault="00463364" w:rsidP="00463364">
      <w:pPr>
        <w:pStyle w:val="05Cuerpo"/>
        <w:rPr>
          <w:rFonts w:ascii="Times New Roman"/>
          <w:sz w:val="14"/>
        </w:rPr>
      </w:pPr>
    </w:p>
    <w:p w14:paraId="1F8E11AF" w14:textId="131926C6" w:rsidR="00463364" w:rsidRDefault="00463364" w:rsidP="00463364">
      <w:pPr>
        <w:pStyle w:val="05Cuerpo"/>
        <w:rPr>
          <w:rFonts w:ascii="Times New Roman"/>
          <w:sz w:val="14"/>
        </w:rPr>
      </w:pPr>
    </w:p>
    <w:p w14:paraId="28493480" w14:textId="757C2943" w:rsidR="00463364" w:rsidRDefault="00463364" w:rsidP="00463364">
      <w:pPr>
        <w:pStyle w:val="05Cuerpo"/>
        <w:rPr>
          <w:rFonts w:ascii="Times New Roman"/>
          <w:sz w:val="14"/>
        </w:rPr>
      </w:pPr>
    </w:p>
    <w:p w14:paraId="58639F34" w14:textId="77777777" w:rsidR="00662369" w:rsidRDefault="00662369" w:rsidP="00FE1AC9">
      <w:pPr>
        <w:spacing w:before="66" w:line="280" w:lineRule="auto"/>
        <w:ind w:left="11" w:right="281" w:firstLine="7"/>
        <w:jc w:val="left"/>
        <w:rPr>
          <w:szCs w:val="24"/>
        </w:rPr>
      </w:pPr>
      <w:r>
        <w:rPr>
          <w:szCs w:val="24"/>
        </w:rPr>
        <w:t xml:space="preserve">La clasificación de la </w:t>
      </w:r>
      <w:proofErr w:type="spellStart"/>
      <w:r>
        <w:rPr>
          <w:szCs w:val="24"/>
        </w:rPr>
        <w:t>hiperkalemia</w:t>
      </w:r>
      <w:proofErr w:type="spellEnd"/>
      <w:r>
        <w:rPr>
          <w:szCs w:val="24"/>
        </w:rPr>
        <w:t xml:space="preserve"> se puede abordar desde varias perspectivas, dependiendo de la severidad, la causa y la urgencia del tratamiento. </w:t>
      </w:r>
    </w:p>
    <w:p w14:paraId="00DF6AF5" w14:textId="77777777" w:rsidR="00662369" w:rsidRDefault="00662369" w:rsidP="00FE1AC9">
      <w:pPr>
        <w:spacing w:before="722"/>
        <w:ind w:left="7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3.1. Clasificación por nivel de potasio plasmático: </w:t>
      </w:r>
    </w:p>
    <w:p w14:paraId="1616DD0C" w14:textId="77777777" w:rsidR="00662369" w:rsidRDefault="00662369" w:rsidP="00FE1AC9">
      <w:pPr>
        <w:spacing w:before="251"/>
        <w:ind w:left="370"/>
        <w:jc w:val="left"/>
        <w:rPr>
          <w:szCs w:val="24"/>
        </w:rPr>
      </w:pPr>
      <w:r>
        <w:rPr>
          <w:szCs w:val="24"/>
        </w:rPr>
        <w:t xml:space="preserve">• </w:t>
      </w:r>
      <w:r>
        <w:rPr>
          <w:b/>
          <w:bCs/>
          <w:szCs w:val="24"/>
        </w:rPr>
        <w:t>Leve</w:t>
      </w:r>
      <w:r>
        <w:rPr>
          <w:szCs w:val="24"/>
        </w:rPr>
        <w:t xml:space="preserve">: </w:t>
      </w:r>
    </w:p>
    <w:p w14:paraId="062AD700" w14:textId="77777777" w:rsidR="00662369" w:rsidRDefault="00662369" w:rsidP="00FE1AC9">
      <w:pPr>
        <w:spacing w:before="49"/>
        <w:ind w:left="738"/>
        <w:jc w:val="left"/>
        <w:rPr>
          <w:szCs w:val="24"/>
        </w:rPr>
      </w:pPr>
      <w:r>
        <w:rPr>
          <w:szCs w:val="24"/>
        </w:rPr>
        <w:t xml:space="preserve">Potasio sérico entre </w:t>
      </w:r>
      <w:r>
        <w:rPr>
          <w:b/>
          <w:bCs/>
          <w:szCs w:val="24"/>
        </w:rPr>
        <w:t>5.1 y 5.5 mEq/L</w:t>
      </w:r>
      <w:r>
        <w:rPr>
          <w:szCs w:val="24"/>
        </w:rPr>
        <w:t>.</w:t>
      </w:r>
    </w:p>
    <w:p w14:paraId="3486DE79" w14:textId="77777777" w:rsidR="00662369" w:rsidRDefault="00662369" w:rsidP="00FE1AC9">
      <w:pPr>
        <w:spacing w:line="279" w:lineRule="auto"/>
        <w:ind w:left="728" w:right="389" w:firstLine="3"/>
        <w:jc w:val="left"/>
        <w:rPr>
          <w:szCs w:val="24"/>
        </w:rPr>
      </w:pPr>
      <w:r>
        <w:rPr>
          <w:szCs w:val="24"/>
        </w:rPr>
        <w:t xml:space="preserve">Generalmente, no presenta síntomas clínicos evidentes. Es necesario </w:t>
      </w:r>
      <w:proofErr w:type="gramStart"/>
      <w:r>
        <w:rPr>
          <w:szCs w:val="24"/>
        </w:rPr>
        <w:t>monitorear  al</w:t>
      </w:r>
      <w:proofErr w:type="gramEnd"/>
      <w:r>
        <w:rPr>
          <w:szCs w:val="24"/>
        </w:rPr>
        <w:t xml:space="preserve"> paciente, especialmente si tiene factores de riesgo como Enfermedad Renal  Crónica o el uso de fármacos que afectan el manejo del potasio (ej. inhibidores del  SRAA, antagonistas de receptor de mineralocorticoides, </w:t>
      </w:r>
      <w:proofErr w:type="spellStart"/>
      <w:r>
        <w:rPr>
          <w:szCs w:val="24"/>
        </w:rPr>
        <w:t>etc</w:t>
      </w:r>
      <w:proofErr w:type="spellEnd"/>
      <w:r>
        <w:rPr>
          <w:szCs w:val="24"/>
        </w:rPr>
        <w:t xml:space="preserve">). </w:t>
      </w:r>
    </w:p>
    <w:p w14:paraId="3511A462" w14:textId="77777777" w:rsidR="00662369" w:rsidRDefault="00662369" w:rsidP="00FE1AC9">
      <w:pPr>
        <w:spacing w:before="214"/>
        <w:ind w:left="370"/>
        <w:jc w:val="left"/>
        <w:rPr>
          <w:szCs w:val="24"/>
        </w:rPr>
      </w:pPr>
      <w:r>
        <w:rPr>
          <w:szCs w:val="24"/>
        </w:rPr>
        <w:t xml:space="preserve">• </w:t>
      </w:r>
      <w:r>
        <w:rPr>
          <w:b/>
          <w:bCs/>
          <w:szCs w:val="24"/>
        </w:rPr>
        <w:t>Moderada</w:t>
      </w:r>
      <w:r>
        <w:rPr>
          <w:szCs w:val="24"/>
        </w:rPr>
        <w:t xml:space="preserve">: </w:t>
      </w:r>
    </w:p>
    <w:p w14:paraId="00DC0C53" w14:textId="77777777" w:rsidR="00662369" w:rsidRDefault="00662369" w:rsidP="00FE1AC9">
      <w:pPr>
        <w:spacing w:before="51"/>
        <w:ind w:left="738"/>
        <w:jc w:val="left"/>
        <w:rPr>
          <w:szCs w:val="24"/>
        </w:rPr>
      </w:pPr>
      <w:r>
        <w:rPr>
          <w:szCs w:val="24"/>
        </w:rPr>
        <w:t xml:space="preserve">Potasio sérico entre </w:t>
      </w:r>
      <w:r>
        <w:rPr>
          <w:b/>
          <w:bCs/>
          <w:szCs w:val="24"/>
        </w:rPr>
        <w:t>5.6 y 6.0 mEq/L</w:t>
      </w:r>
      <w:r>
        <w:rPr>
          <w:szCs w:val="24"/>
        </w:rPr>
        <w:t xml:space="preserve">. </w:t>
      </w:r>
    </w:p>
    <w:p w14:paraId="14D17747" w14:textId="77777777" w:rsidR="00662369" w:rsidRDefault="00662369" w:rsidP="00FE1AC9">
      <w:pPr>
        <w:spacing w:before="49" w:line="280" w:lineRule="auto"/>
        <w:ind w:left="731" w:right="309" w:firstLine="7"/>
        <w:rPr>
          <w:szCs w:val="24"/>
        </w:rPr>
      </w:pPr>
      <w:r>
        <w:rPr>
          <w:szCs w:val="24"/>
        </w:rPr>
        <w:t xml:space="preserve">Puede causar síntomas leves como debilidad muscular o arritmias menores.  Requiere intervención terapéutica para prevenir una mayor </w:t>
      </w:r>
      <w:r>
        <w:rPr>
          <w:szCs w:val="24"/>
        </w:rPr>
        <w:lastRenderedPageBreak/>
        <w:t xml:space="preserve">elevación de los </w:t>
      </w:r>
      <w:proofErr w:type="gramStart"/>
      <w:r>
        <w:rPr>
          <w:szCs w:val="24"/>
        </w:rPr>
        <w:t>niveles  de</w:t>
      </w:r>
      <w:proofErr w:type="gramEnd"/>
      <w:r>
        <w:rPr>
          <w:szCs w:val="24"/>
        </w:rPr>
        <w:t xml:space="preserve"> potasio. </w:t>
      </w:r>
    </w:p>
    <w:p w14:paraId="42D99395" w14:textId="77777777" w:rsidR="00662369" w:rsidRDefault="00662369" w:rsidP="00FE1AC9">
      <w:pPr>
        <w:spacing w:before="214"/>
        <w:ind w:left="370"/>
        <w:rPr>
          <w:szCs w:val="24"/>
        </w:rPr>
      </w:pPr>
    </w:p>
    <w:p w14:paraId="2FFF8BFA" w14:textId="77777777" w:rsidR="00662369" w:rsidRDefault="00662369" w:rsidP="00FE1AC9">
      <w:pPr>
        <w:spacing w:before="214"/>
        <w:ind w:left="370"/>
        <w:rPr>
          <w:szCs w:val="24"/>
        </w:rPr>
      </w:pPr>
      <w:r>
        <w:rPr>
          <w:szCs w:val="24"/>
        </w:rPr>
        <w:t xml:space="preserve">• </w:t>
      </w:r>
      <w:r>
        <w:rPr>
          <w:b/>
          <w:bCs/>
          <w:szCs w:val="24"/>
        </w:rPr>
        <w:t>Severa</w:t>
      </w:r>
      <w:r>
        <w:rPr>
          <w:szCs w:val="24"/>
        </w:rPr>
        <w:t xml:space="preserve">: </w:t>
      </w:r>
    </w:p>
    <w:p w14:paraId="79A9CF48" w14:textId="77777777" w:rsidR="00662369" w:rsidRDefault="00662369" w:rsidP="00FE1AC9">
      <w:pPr>
        <w:spacing w:before="50"/>
        <w:ind w:left="738"/>
        <w:rPr>
          <w:szCs w:val="24"/>
        </w:rPr>
      </w:pPr>
      <w:r>
        <w:rPr>
          <w:szCs w:val="24"/>
        </w:rPr>
        <w:t xml:space="preserve">Potasio sérico superior a </w:t>
      </w:r>
      <w:r>
        <w:rPr>
          <w:b/>
          <w:bCs/>
          <w:szCs w:val="24"/>
        </w:rPr>
        <w:t>6.0 mEq/L</w:t>
      </w:r>
      <w:r>
        <w:rPr>
          <w:szCs w:val="24"/>
        </w:rPr>
        <w:t xml:space="preserve">. </w:t>
      </w:r>
    </w:p>
    <w:p w14:paraId="0281F8B8" w14:textId="77777777" w:rsidR="00662369" w:rsidRDefault="00662369" w:rsidP="00FE1AC9">
      <w:pPr>
        <w:spacing w:before="51" w:line="280" w:lineRule="auto"/>
        <w:ind w:left="723" w:right="631" w:firstLine="4"/>
        <w:rPr>
          <w:szCs w:val="24"/>
        </w:rPr>
      </w:pPr>
      <w:r>
        <w:rPr>
          <w:szCs w:val="24"/>
        </w:rPr>
        <w:t xml:space="preserve">Se asocia con síntomas clínicos graves, como arritmias ventriculares, </w:t>
      </w:r>
      <w:proofErr w:type="gramStart"/>
      <w:r>
        <w:rPr>
          <w:szCs w:val="24"/>
        </w:rPr>
        <w:t>debilidad  muscular</w:t>
      </w:r>
      <w:proofErr w:type="gramEnd"/>
      <w:r>
        <w:rPr>
          <w:szCs w:val="24"/>
        </w:rPr>
        <w:t xml:space="preserve"> pronunciada y paro cardíaco. Es una urgencia médica que </w:t>
      </w:r>
      <w:proofErr w:type="gramStart"/>
      <w:r>
        <w:rPr>
          <w:szCs w:val="24"/>
        </w:rPr>
        <w:t>requiere  tratamiento</w:t>
      </w:r>
      <w:proofErr w:type="gramEnd"/>
      <w:r>
        <w:rPr>
          <w:szCs w:val="24"/>
        </w:rPr>
        <w:t xml:space="preserve"> inmediato. </w:t>
      </w:r>
    </w:p>
    <w:p w14:paraId="4F2F4C30" w14:textId="77777777" w:rsidR="00662369" w:rsidRDefault="00662369" w:rsidP="00FE1AC9">
      <w:pPr>
        <w:spacing w:before="214"/>
        <w:ind w:left="7"/>
        <w:rPr>
          <w:b/>
          <w:bCs/>
          <w:szCs w:val="24"/>
        </w:rPr>
      </w:pPr>
      <w:r>
        <w:rPr>
          <w:b/>
          <w:bCs/>
          <w:szCs w:val="24"/>
        </w:rPr>
        <w:t xml:space="preserve">3.2. Clasificación por tiempo de aparición (aguda vs. crónica): </w:t>
      </w:r>
    </w:p>
    <w:p w14:paraId="648AA0C2" w14:textId="77777777" w:rsidR="00662369" w:rsidRDefault="00662369" w:rsidP="00FE1AC9">
      <w:pPr>
        <w:spacing w:before="251"/>
        <w:ind w:left="370"/>
        <w:rPr>
          <w:szCs w:val="24"/>
        </w:rPr>
      </w:pPr>
      <w:r>
        <w:rPr>
          <w:szCs w:val="24"/>
        </w:rPr>
        <w:t xml:space="preserve">• </w:t>
      </w:r>
      <w:proofErr w:type="spellStart"/>
      <w:r>
        <w:rPr>
          <w:b/>
          <w:bCs/>
          <w:szCs w:val="24"/>
        </w:rPr>
        <w:t>Hiperkalemia</w:t>
      </w:r>
      <w:proofErr w:type="spellEnd"/>
      <w:r>
        <w:rPr>
          <w:b/>
          <w:bCs/>
          <w:szCs w:val="24"/>
        </w:rPr>
        <w:t xml:space="preserve"> aguda</w:t>
      </w:r>
      <w:r>
        <w:rPr>
          <w:szCs w:val="24"/>
        </w:rPr>
        <w:t xml:space="preserve">: </w:t>
      </w:r>
    </w:p>
    <w:p w14:paraId="354622B8" w14:textId="77777777" w:rsidR="00662369" w:rsidRDefault="00662369" w:rsidP="00FE1AC9">
      <w:pPr>
        <w:spacing w:before="49" w:line="280" w:lineRule="auto"/>
        <w:ind w:left="727" w:right="372" w:firstLine="4"/>
        <w:rPr>
          <w:szCs w:val="24"/>
        </w:rPr>
      </w:pPr>
      <w:r>
        <w:rPr>
          <w:szCs w:val="24"/>
        </w:rPr>
        <w:t xml:space="preserve">Ocurre rápidamente (horas o días). En este caso, el riesgo de </w:t>
      </w:r>
      <w:proofErr w:type="gramStart"/>
      <w:r>
        <w:rPr>
          <w:szCs w:val="24"/>
        </w:rPr>
        <w:t>complicaciones  graves</w:t>
      </w:r>
      <w:proofErr w:type="gramEnd"/>
      <w:r>
        <w:rPr>
          <w:szCs w:val="24"/>
        </w:rPr>
        <w:t xml:space="preserve"> como arritmias cardíacas es más alto. Este tipo se presenta típicamente </w:t>
      </w:r>
      <w:proofErr w:type="gramStart"/>
      <w:r>
        <w:rPr>
          <w:szCs w:val="24"/>
        </w:rPr>
        <w:t>en  situaciones</w:t>
      </w:r>
      <w:proofErr w:type="gramEnd"/>
      <w:r>
        <w:rPr>
          <w:szCs w:val="24"/>
        </w:rPr>
        <w:t xml:space="preserve"> de trauma, hemólisis, o IRA. </w:t>
      </w:r>
    </w:p>
    <w:p w14:paraId="5EAECA6D" w14:textId="77777777" w:rsidR="00662369" w:rsidRDefault="00662369" w:rsidP="00FE1AC9">
      <w:pPr>
        <w:spacing w:before="214"/>
        <w:ind w:left="370"/>
        <w:rPr>
          <w:szCs w:val="24"/>
        </w:rPr>
      </w:pPr>
      <w:r>
        <w:rPr>
          <w:szCs w:val="24"/>
        </w:rPr>
        <w:t xml:space="preserve">• </w:t>
      </w:r>
      <w:proofErr w:type="spellStart"/>
      <w:r>
        <w:rPr>
          <w:b/>
          <w:bCs/>
          <w:szCs w:val="24"/>
        </w:rPr>
        <w:t>Hiperkalemia</w:t>
      </w:r>
      <w:proofErr w:type="spellEnd"/>
      <w:r>
        <w:rPr>
          <w:b/>
          <w:bCs/>
          <w:szCs w:val="24"/>
        </w:rPr>
        <w:t xml:space="preserve"> crónica</w:t>
      </w:r>
      <w:r>
        <w:rPr>
          <w:szCs w:val="24"/>
        </w:rPr>
        <w:t xml:space="preserve">: </w:t>
      </w:r>
    </w:p>
    <w:p w14:paraId="7298B2C7" w14:textId="77777777" w:rsidR="00662369" w:rsidRDefault="00662369" w:rsidP="00FE1AC9">
      <w:pPr>
        <w:spacing w:before="49" w:line="279" w:lineRule="auto"/>
        <w:ind w:left="731" w:right="350" w:hanging="3"/>
        <w:rPr>
          <w:szCs w:val="24"/>
        </w:rPr>
      </w:pPr>
      <w:r>
        <w:rPr>
          <w:szCs w:val="24"/>
        </w:rPr>
        <w:t xml:space="preserve">Se desarrolla de manera gradual y generalmente está asociada con </w:t>
      </w:r>
      <w:proofErr w:type="gramStart"/>
      <w:r>
        <w:rPr>
          <w:szCs w:val="24"/>
        </w:rPr>
        <w:t>enfermedades  como</w:t>
      </w:r>
      <w:proofErr w:type="gramEnd"/>
      <w:r>
        <w:rPr>
          <w:szCs w:val="24"/>
        </w:rPr>
        <w:t xml:space="preserve"> la </w:t>
      </w:r>
      <w:r>
        <w:rPr>
          <w:b/>
          <w:bCs/>
          <w:szCs w:val="24"/>
        </w:rPr>
        <w:t>Enfermedad Renal Crónica</w:t>
      </w:r>
      <w:r>
        <w:rPr>
          <w:szCs w:val="24"/>
        </w:rPr>
        <w:t xml:space="preserve">. Los pacientes pueden adaptarse a los </w:t>
      </w:r>
      <w:proofErr w:type="gramStart"/>
      <w:r>
        <w:rPr>
          <w:szCs w:val="24"/>
        </w:rPr>
        <w:t>niveles  más</w:t>
      </w:r>
      <w:proofErr w:type="gramEnd"/>
      <w:r>
        <w:rPr>
          <w:szCs w:val="24"/>
        </w:rPr>
        <w:t xml:space="preserve"> altos de potasio, pero </w:t>
      </w:r>
      <w:proofErr w:type="spellStart"/>
      <w:r>
        <w:rPr>
          <w:szCs w:val="24"/>
        </w:rPr>
        <w:t>aún</w:t>
      </w:r>
      <w:proofErr w:type="spellEnd"/>
      <w:r>
        <w:rPr>
          <w:szCs w:val="24"/>
        </w:rPr>
        <w:t xml:space="preserve"> así son vulnerables a eventos adversos,  particularmente con cambios rápidos en los niveles. </w:t>
      </w:r>
    </w:p>
    <w:p w14:paraId="670F6DCF" w14:textId="77777777" w:rsidR="00662369" w:rsidRDefault="00662369" w:rsidP="00FE1AC9">
      <w:pPr>
        <w:spacing w:before="214"/>
        <w:ind w:left="7"/>
        <w:rPr>
          <w:b/>
          <w:bCs/>
          <w:szCs w:val="24"/>
        </w:rPr>
      </w:pPr>
      <w:r>
        <w:rPr>
          <w:b/>
          <w:bCs/>
          <w:szCs w:val="24"/>
        </w:rPr>
        <w:t xml:space="preserve">3.3. Clasificación según la causa (primaria vs. secundaria): </w:t>
      </w:r>
    </w:p>
    <w:p w14:paraId="55F47F3B" w14:textId="77777777" w:rsidR="00662369" w:rsidRDefault="00662369" w:rsidP="00FE1AC9">
      <w:pPr>
        <w:spacing w:before="251"/>
        <w:ind w:left="370"/>
        <w:rPr>
          <w:szCs w:val="24"/>
        </w:rPr>
      </w:pPr>
      <w:r>
        <w:rPr>
          <w:szCs w:val="24"/>
        </w:rPr>
        <w:t xml:space="preserve">• </w:t>
      </w:r>
      <w:proofErr w:type="spellStart"/>
      <w:r>
        <w:rPr>
          <w:b/>
          <w:bCs/>
          <w:szCs w:val="24"/>
        </w:rPr>
        <w:t>Hiperkalemia</w:t>
      </w:r>
      <w:proofErr w:type="spellEnd"/>
      <w:r>
        <w:rPr>
          <w:b/>
          <w:bCs/>
          <w:szCs w:val="24"/>
        </w:rPr>
        <w:t xml:space="preserve"> primaria</w:t>
      </w:r>
      <w:r>
        <w:rPr>
          <w:szCs w:val="24"/>
        </w:rPr>
        <w:t xml:space="preserve">: </w:t>
      </w:r>
    </w:p>
    <w:p w14:paraId="1FC1DCE4" w14:textId="77777777" w:rsidR="00662369" w:rsidRDefault="00662369" w:rsidP="00FE1AC9">
      <w:pPr>
        <w:spacing w:before="51" w:line="279" w:lineRule="auto"/>
        <w:ind w:left="723" w:right="399" w:firstLine="8"/>
        <w:rPr>
          <w:szCs w:val="24"/>
        </w:rPr>
      </w:pPr>
      <w:r>
        <w:rPr>
          <w:szCs w:val="24"/>
        </w:rPr>
        <w:t xml:space="preserve">Causada por un fallo en la eliminación renal de potasio, lo que es común </w:t>
      </w:r>
      <w:proofErr w:type="gramStart"/>
      <w:r>
        <w:rPr>
          <w:szCs w:val="24"/>
        </w:rPr>
        <w:t>en  pacientes</w:t>
      </w:r>
      <w:proofErr w:type="gramEnd"/>
      <w:r>
        <w:rPr>
          <w:szCs w:val="24"/>
        </w:rPr>
        <w:t xml:space="preserve"> con Enfermedad Renal Crónica. También puede ser secundaria al uso </w:t>
      </w:r>
      <w:proofErr w:type="gramStart"/>
      <w:r>
        <w:rPr>
          <w:szCs w:val="24"/>
        </w:rPr>
        <w:t>de  fármacos</w:t>
      </w:r>
      <w:proofErr w:type="gramEnd"/>
      <w:r>
        <w:rPr>
          <w:szCs w:val="24"/>
        </w:rPr>
        <w:t xml:space="preserve"> (ej. inhibidores del SRAA, diuréticos ahorradores de potasio). </w:t>
      </w:r>
    </w:p>
    <w:p w14:paraId="6B43E43A" w14:textId="77777777" w:rsidR="00662369" w:rsidRDefault="00662369" w:rsidP="00FE1AC9">
      <w:pPr>
        <w:spacing w:before="214"/>
        <w:ind w:left="370"/>
        <w:rPr>
          <w:szCs w:val="24"/>
        </w:rPr>
      </w:pPr>
      <w:r>
        <w:rPr>
          <w:szCs w:val="24"/>
        </w:rPr>
        <w:t xml:space="preserve">• </w:t>
      </w:r>
      <w:proofErr w:type="spellStart"/>
      <w:r>
        <w:rPr>
          <w:b/>
          <w:bCs/>
          <w:szCs w:val="24"/>
        </w:rPr>
        <w:t>Hiperkalemia</w:t>
      </w:r>
      <w:proofErr w:type="spellEnd"/>
      <w:r>
        <w:rPr>
          <w:b/>
          <w:bCs/>
          <w:szCs w:val="24"/>
        </w:rPr>
        <w:t xml:space="preserve"> secundaria</w:t>
      </w:r>
      <w:r>
        <w:rPr>
          <w:szCs w:val="24"/>
        </w:rPr>
        <w:t xml:space="preserve">: </w:t>
      </w:r>
    </w:p>
    <w:p w14:paraId="26977743" w14:textId="77777777" w:rsidR="00662369" w:rsidRDefault="00662369" w:rsidP="00FE1AC9">
      <w:pPr>
        <w:spacing w:before="51" w:line="280" w:lineRule="auto"/>
        <w:ind w:left="731" w:right="713" w:firstLine="7"/>
        <w:rPr>
          <w:szCs w:val="24"/>
        </w:rPr>
      </w:pPr>
      <w:r>
        <w:rPr>
          <w:szCs w:val="24"/>
        </w:rPr>
        <w:t xml:space="preserve">Relacionada con alteraciones que afectan la redistribución del potasio entre </w:t>
      </w:r>
      <w:proofErr w:type="gramStart"/>
      <w:r>
        <w:rPr>
          <w:szCs w:val="24"/>
        </w:rPr>
        <w:t>el  espacio</w:t>
      </w:r>
      <w:proofErr w:type="gramEnd"/>
      <w:r>
        <w:rPr>
          <w:szCs w:val="24"/>
        </w:rPr>
        <w:t xml:space="preserve"> intra y extracelular. Esto puede incluir condiciones como la </w:t>
      </w:r>
      <w:proofErr w:type="gramStart"/>
      <w:r>
        <w:rPr>
          <w:szCs w:val="24"/>
        </w:rPr>
        <w:t>acidosis  metabólica</w:t>
      </w:r>
      <w:proofErr w:type="gramEnd"/>
      <w:r>
        <w:rPr>
          <w:szCs w:val="24"/>
        </w:rPr>
        <w:t xml:space="preserve">, rabdomiólisis, hemólisis, o insuficiencia adrenal. </w:t>
      </w:r>
    </w:p>
    <w:p w14:paraId="1BC7184A" w14:textId="77777777" w:rsidR="00662369" w:rsidRDefault="00662369" w:rsidP="00FE1AC9">
      <w:pPr>
        <w:spacing w:before="214"/>
        <w:ind w:left="7"/>
        <w:rPr>
          <w:b/>
          <w:bCs/>
          <w:szCs w:val="24"/>
        </w:rPr>
      </w:pPr>
      <w:r>
        <w:rPr>
          <w:b/>
          <w:bCs/>
          <w:szCs w:val="24"/>
        </w:rPr>
        <w:t>3.4. Clasificación según la presencia de síntomas (con o sin síntomas):</w:t>
      </w:r>
    </w:p>
    <w:p w14:paraId="3FFB8548" w14:textId="77777777" w:rsidR="00662369" w:rsidRDefault="00662369" w:rsidP="00FE1AC9">
      <w:pPr>
        <w:ind w:left="370"/>
        <w:rPr>
          <w:szCs w:val="24"/>
        </w:rPr>
      </w:pPr>
      <w:r>
        <w:rPr>
          <w:szCs w:val="24"/>
        </w:rPr>
        <w:t xml:space="preserve">• </w:t>
      </w:r>
      <w:proofErr w:type="spellStart"/>
      <w:r>
        <w:rPr>
          <w:b/>
          <w:bCs/>
          <w:szCs w:val="24"/>
        </w:rPr>
        <w:t>Hiperkalemia</w:t>
      </w:r>
      <w:proofErr w:type="spellEnd"/>
      <w:r>
        <w:rPr>
          <w:b/>
          <w:bCs/>
          <w:szCs w:val="24"/>
        </w:rPr>
        <w:t xml:space="preserve"> sintomática</w:t>
      </w:r>
      <w:r>
        <w:rPr>
          <w:szCs w:val="24"/>
        </w:rPr>
        <w:t xml:space="preserve">: </w:t>
      </w:r>
    </w:p>
    <w:p w14:paraId="2F34F00D" w14:textId="77777777" w:rsidR="00662369" w:rsidRDefault="00662369" w:rsidP="00FE1AC9">
      <w:pPr>
        <w:spacing w:before="51" w:line="279" w:lineRule="auto"/>
        <w:ind w:left="737" w:right="718" w:hanging="9"/>
        <w:rPr>
          <w:szCs w:val="24"/>
        </w:rPr>
      </w:pPr>
      <w:r>
        <w:rPr>
          <w:szCs w:val="24"/>
        </w:rPr>
        <w:t xml:space="preserve">Se presenta con manifestaciones clínicas como arritmias, debilidad </w:t>
      </w:r>
      <w:proofErr w:type="gramStart"/>
      <w:r>
        <w:rPr>
          <w:szCs w:val="24"/>
        </w:rPr>
        <w:t>muscular,  parestesias</w:t>
      </w:r>
      <w:proofErr w:type="gramEnd"/>
      <w:r>
        <w:rPr>
          <w:szCs w:val="24"/>
        </w:rPr>
        <w:t xml:space="preserve"> o paro cardíaco. Los pacientes con </w:t>
      </w:r>
      <w:proofErr w:type="spellStart"/>
      <w:r>
        <w:rPr>
          <w:szCs w:val="24"/>
        </w:rPr>
        <w:t>hiperkalemia</w:t>
      </w:r>
      <w:proofErr w:type="spellEnd"/>
      <w:r>
        <w:rPr>
          <w:szCs w:val="24"/>
        </w:rPr>
        <w:t xml:space="preserve"> severa son </w:t>
      </w:r>
      <w:proofErr w:type="gramStart"/>
      <w:r>
        <w:rPr>
          <w:szCs w:val="24"/>
        </w:rPr>
        <w:t>más  propensos</w:t>
      </w:r>
      <w:proofErr w:type="gramEnd"/>
      <w:r>
        <w:rPr>
          <w:szCs w:val="24"/>
        </w:rPr>
        <w:t xml:space="preserve"> a desarrollar estas complicaciones. </w:t>
      </w:r>
    </w:p>
    <w:p w14:paraId="1CE9F4D9" w14:textId="77777777" w:rsidR="00662369" w:rsidRDefault="00662369" w:rsidP="00FE1AC9">
      <w:pPr>
        <w:spacing w:before="215"/>
        <w:ind w:left="370"/>
        <w:rPr>
          <w:szCs w:val="24"/>
        </w:rPr>
      </w:pPr>
      <w:r>
        <w:rPr>
          <w:szCs w:val="24"/>
        </w:rPr>
        <w:t xml:space="preserve">• </w:t>
      </w:r>
      <w:proofErr w:type="spellStart"/>
      <w:r>
        <w:rPr>
          <w:b/>
          <w:bCs/>
          <w:szCs w:val="24"/>
        </w:rPr>
        <w:t>Hiperkalemia</w:t>
      </w:r>
      <w:proofErr w:type="spellEnd"/>
      <w:r>
        <w:rPr>
          <w:b/>
          <w:bCs/>
          <w:szCs w:val="24"/>
        </w:rPr>
        <w:t xml:space="preserve"> asintomática</w:t>
      </w:r>
      <w:r>
        <w:rPr>
          <w:szCs w:val="24"/>
        </w:rPr>
        <w:t xml:space="preserve">: </w:t>
      </w:r>
    </w:p>
    <w:p w14:paraId="5662DF4E" w14:textId="77777777" w:rsidR="00662369" w:rsidRDefault="00662369" w:rsidP="00FE1AC9">
      <w:pPr>
        <w:spacing w:before="51" w:line="279" w:lineRule="auto"/>
        <w:ind w:left="731" w:right="651" w:hanging="10"/>
        <w:rPr>
          <w:szCs w:val="24"/>
        </w:rPr>
      </w:pPr>
      <w:r>
        <w:rPr>
          <w:szCs w:val="24"/>
        </w:rPr>
        <w:t xml:space="preserve">Aunque los niveles de potasio están elevados, el paciente no muestra </w:t>
      </w:r>
      <w:proofErr w:type="gramStart"/>
      <w:r>
        <w:rPr>
          <w:szCs w:val="24"/>
        </w:rPr>
        <w:lastRenderedPageBreak/>
        <w:t>síntomas  evidentes</w:t>
      </w:r>
      <w:proofErr w:type="gramEnd"/>
      <w:r>
        <w:rPr>
          <w:szCs w:val="24"/>
        </w:rPr>
        <w:t xml:space="preserve">. Sin embargo, se debe tratar de manera preventiva, dado el riesgo </w:t>
      </w:r>
      <w:proofErr w:type="gramStart"/>
      <w:r>
        <w:rPr>
          <w:szCs w:val="24"/>
        </w:rPr>
        <w:t>de  progresión</w:t>
      </w:r>
      <w:proofErr w:type="gramEnd"/>
      <w:r>
        <w:rPr>
          <w:szCs w:val="24"/>
        </w:rPr>
        <w:t xml:space="preserve"> y complicaciones asociadas. </w:t>
      </w:r>
    </w:p>
    <w:p w14:paraId="2A1D8F33" w14:textId="77777777" w:rsidR="00662369" w:rsidRDefault="00662369" w:rsidP="00FE1AC9">
      <w:pPr>
        <w:spacing w:before="215"/>
        <w:ind w:left="7"/>
        <w:rPr>
          <w:b/>
          <w:bCs/>
          <w:szCs w:val="24"/>
        </w:rPr>
      </w:pPr>
      <w:r>
        <w:rPr>
          <w:b/>
          <w:bCs/>
          <w:szCs w:val="24"/>
        </w:rPr>
        <w:t xml:space="preserve">3.5. Clasificación según el contexto clínico (urgente vs. no urgente): </w:t>
      </w:r>
    </w:p>
    <w:p w14:paraId="4B0B6587" w14:textId="77777777" w:rsidR="00662369" w:rsidRDefault="00662369" w:rsidP="00FE1AC9">
      <w:pPr>
        <w:spacing w:before="251"/>
        <w:ind w:left="370"/>
        <w:rPr>
          <w:szCs w:val="24"/>
        </w:rPr>
      </w:pPr>
      <w:r>
        <w:rPr>
          <w:szCs w:val="24"/>
        </w:rPr>
        <w:t xml:space="preserve">• </w:t>
      </w:r>
      <w:r>
        <w:rPr>
          <w:b/>
          <w:bCs/>
          <w:szCs w:val="24"/>
        </w:rPr>
        <w:t>Urgente</w:t>
      </w:r>
      <w:r>
        <w:rPr>
          <w:szCs w:val="24"/>
        </w:rPr>
        <w:t xml:space="preserve">: </w:t>
      </w:r>
    </w:p>
    <w:p w14:paraId="0F42C942" w14:textId="77777777" w:rsidR="00662369" w:rsidRDefault="00662369" w:rsidP="00FE1AC9">
      <w:pPr>
        <w:spacing w:before="51" w:line="279" w:lineRule="auto"/>
        <w:ind w:left="734" w:right="307" w:firstLine="3"/>
        <w:rPr>
          <w:szCs w:val="24"/>
        </w:rPr>
      </w:pPr>
      <w:proofErr w:type="spellStart"/>
      <w:r>
        <w:rPr>
          <w:szCs w:val="24"/>
        </w:rPr>
        <w:t>Hiperkalemia</w:t>
      </w:r>
      <w:proofErr w:type="spellEnd"/>
      <w:r>
        <w:rPr>
          <w:szCs w:val="24"/>
        </w:rPr>
        <w:t xml:space="preserve"> severa con signos clínicos de descompensación cardiovascular </w:t>
      </w:r>
      <w:proofErr w:type="gramStart"/>
      <w:r>
        <w:rPr>
          <w:szCs w:val="24"/>
        </w:rPr>
        <w:t>o  neuromuscular</w:t>
      </w:r>
      <w:proofErr w:type="gramEnd"/>
      <w:r>
        <w:rPr>
          <w:szCs w:val="24"/>
        </w:rPr>
        <w:t xml:space="preserve">, como arritmias graves o debilidad muscular significativa. </w:t>
      </w:r>
      <w:proofErr w:type="gramStart"/>
      <w:r>
        <w:rPr>
          <w:szCs w:val="24"/>
        </w:rPr>
        <w:t>Requiere  intervención</w:t>
      </w:r>
      <w:proofErr w:type="gramEnd"/>
      <w:r>
        <w:rPr>
          <w:szCs w:val="24"/>
        </w:rPr>
        <w:t xml:space="preserve"> inmediata para reducir el potasio plasmático. </w:t>
      </w:r>
    </w:p>
    <w:p w14:paraId="102F9AF5" w14:textId="77777777" w:rsidR="00662369" w:rsidRDefault="00662369" w:rsidP="00FE1AC9">
      <w:pPr>
        <w:spacing w:before="215"/>
        <w:ind w:left="370"/>
        <w:rPr>
          <w:szCs w:val="24"/>
        </w:rPr>
      </w:pPr>
      <w:r>
        <w:rPr>
          <w:szCs w:val="24"/>
        </w:rPr>
        <w:t xml:space="preserve">• </w:t>
      </w:r>
      <w:r>
        <w:rPr>
          <w:b/>
          <w:bCs/>
          <w:szCs w:val="24"/>
        </w:rPr>
        <w:t>No urgente</w:t>
      </w:r>
      <w:r>
        <w:rPr>
          <w:szCs w:val="24"/>
        </w:rPr>
        <w:t xml:space="preserve">: </w:t>
      </w:r>
    </w:p>
    <w:p w14:paraId="0D586267" w14:textId="77777777" w:rsidR="00662369" w:rsidRDefault="00662369" w:rsidP="00FE1AC9">
      <w:pPr>
        <w:spacing w:before="51" w:line="279" w:lineRule="auto"/>
        <w:ind w:left="730" w:right="513" w:firstLine="7"/>
        <w:rPr>
          <w:b/>
          <w:bCs/>
          <w:szCs w:val="24"/>
        </w:rPr>
      </w:pPr>
      <w:proofErr w:type="spellStart"/>
      <w:r>
        <w:rPr>
          <w:szCs w:val="24"/>
        </w:rPr>
        <w:t>Hiperkalemia</w:t>
      </w:r>
      <w:proofErr w:type="spellEnd"/>
      <w:r>
        <w:rPr>
          <w:szCs w:val="24"/>
        </w:rPr>
        <w:t xml:space="preserve"> moderada o leve, sin síntomas graves, donde el tratamiento </w:t>
      </w:r>
      <w:proofErr w:type="gramStart"/>
      <w:r>
        <w:rPr>
          <w:szCs w:val="24"/>
        </w:rPr>
        <w:t>puede  ser</w:t>
      </w:r>
      <w:proofErr w:type="gramEnd"/>
      <w:r>
        <w:rPr>
          <w:szCs w:val="24"/>
        </w:rPr>
        <w:t xml:space="preserve"> escalonado y más conservador. La monitorización y modificación de </w:t>
      </w:r>
      <w:proofErr w:type="gramStart"/>
      <w:r>
        <w:rPr>
          <w:szCs w:val="24"/>
        </w:rPr>
        <w:t>factores  contribuyentes</w:t>
      </w:r>
      <w:proofErr w:type="gramEnd"/>
      <w:r>
        <w:rPr>
          <w:szCs w:val="24"/>
        </w:rPr>
        <w:t xml:space="preserve"> son claves.</w:t>
      </w:r>
    </w:p>
    <w:p w14:paraId="12C3C224" w14:textId="77777777" w:rsidR="00662369" w:rsidRDefault="00662369" w:rsidP="00662369">
      <w:pPr>
        <w:spacing w:line="360" w:lineRule="auto"/>
        <w:rPr>
          <w:szCs w:val="24"/>
        </w:rPr>
      </w:pPr>
    </w:p>
    <w:p w14:paraId="0E94EBF8" w14:textId="77777777" w:rsidR="00463364" w:rsidRPr="00054AC9" w:rsidRDefault="00D42F8B" w:rsidP="00463364">
      <w:pPr>
        <w:pStyle w:val="05Cuerpo"/>
        <w:rPr>
          <w:rFonts w:cs="Arial"/>
        </w:rPr>
      </w:pPr>
      <w:r w:rsidRPr="008B675A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78976" behindDoc="0" locked="0" layoutInCell="1" allowOverlap="1" wp14:anchorId="2E0FD72E" wp14:editId="30BEC446">
                <wp:simplePos x="0" y="0"/>
                <wp:positionH relativeFrom="column">
                  <wp:posOffset>-306070</wp:posOffset>
                </wp:positionH>
                <wp:positionV relativeFrom="paragraph">
                  <wp:posOffset>112395</wp:posOffset>
                </wp:positionV>
                <wp:extent cx="7644130" cy="438150"/>
                <wp:effectExtent l="0" t="0" r="0" b="0"/>
                <wp:wrapNone/>
                <wp:docPr id="429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381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B40993" w14:textId="57919850" w:rsidR="00193E07" w:rsidRPr="00D42F8B" w:rsidRDefault="00662369" w:rsidP="00520E40">
                            <w:pPr>
                              <w:pStyle w:val="Ttulo1"/>
                              <w:rPr>
                                <w:lang w:val="es-MX"/>
                              </w:rPr>
                            </w:pPr>
                            <w:bookmarkStart w:id="15" w:name="_Toc219283570"/>
                            <w:bookmarkStart w:id="16" w:name="_Toc219288208"/>
                            <w:bookmarkStart w:id="17" w:name="_Toc219289441"/>
                            <w:bookmarkStart w:id="18" w:name="_Toc219289955"/>
                            <w:bookmarkStart w:id="19" w:name="_Toc219290368"/>
                            <w:r>
                              <w:rPr>
                                <w:lang w:val="es-MX"/>
                              </w:rPr>
                              <w:t>4</w:t>
                            </w:r>
                            <w:r w:rsidR="00D42F8B" w:rsidRPr="00FE1AC9">
                              <w:rPr>
                                <w:sz w:val="28"/>
                                <w:szCs w:val="28"/>
                                <w:lang w:val="es-MX"/>
                              </w:rPr>
                              <w:t>.</w:t>
                            </w:r>
                            <w:r w:rsidR="007E5861" w:rsidRPr="00FE1AC9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bookmarkEnd w:id="15"/>
                            <w:bookmarkEnd w:id="16"/>
                            <w:r w:rsidRPr="00FE1AC9">
                              <w:rPr>
                                <w:sz w:val="28"/>
                                <w:szCs w:val="28"/>
                                <w:lang w:val="es-MX"/>
                              </w:rPr>
                              <w:t>ETIOLOGIA</w:t>
                            </w:r>
                            <w:bookmarkEnd w:id="17"/>
                            <w:bookmarkEnd w:id="18"/>
                            <w:bookmarkEnd w:id="19"/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="00914134"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FD72E" id="_x0000_s1032" style="position:absolute;left:0;text-align:left;margin-left:-24.1pt;margin-top:8.85pt;width:601.9pt;height:34.5pt;z-index:4876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" fillcolor="#736363" stroked="f" strokeweight="2pt">
                <v:textbox>
                  <w:txbxContent>
                    <w:p w14:paraId="76B40993" w14:textId="57919850" w:rsidR="00193E07" w:rsidRPr="00D42F8B" w:rsidRDefault="00662369" w:rsidP="00520E40">
                      <w:pPr>
                        <w:pStyle w:val="Ttulo1"/>
                        <w:rPr>
                          <w:lang w:val="es-MX"/>
                        </w:rPr>
                      </w:pPr>
                      <w:bookmarkStart w:id="35" w:name="_Toc219283570"/>
                      <w:bookmarkStart w:id="36" w:name="_Toc219288208"/>
                      <w:bookmarkStart w:id="37" w:name="_Toc219289441"/>
                      <w:bookmarkStart w:id="38" w:name="_Toc219289955"/>
                      <w:bookmarkStart w:id="39" w:name="_Toc219290368"/>
                      <w:r>
                        <w:rPr>
                          <w:lang w:val="es-MX"/>
                        </w:rPr>
                        <w:t>4</w:t>
                      </w:r>
                      <w:r w:rsidR="00D42F8B" w:rsidRPr="00FE1AC9">
                        <w:rPr>
                          <w:sz w:val="28"/>
                          <w:szCs w:val="28"/>
                          <w:lang w:val="es-MX"/>
                        </w:rPr>
                        <w:t>.</w:t>
                      </w:r>
                      <w:r w:rsidR="007E5861" w:rsidRPr="00FE1AC9">
                        <w:rPr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bookmarkEnd w:id="35"/>
                      <w:bookmarkEnd w:id="36"/>
                      <w:r w:rsidRPr="00FE1AC9">
                        <w:rPr>
                          <w:sz w:val="28"/>
                          <w:szCs w:val="28"/>
                          <w:lang w:val="es-MX"/>
                        </w:rPr>
                        <w:t>ETIOLOGIA</w:t>
                      </w:r>
                      <w:bookmarkEnd w:id="37"/>
                      <w:bookmarkEnd w:id="38"/>
                      <w:bookmarkEnd w:id="39"/>
                      <w:r>
                        <w:rPr>
                          <w:lang w:val="es-MX"/>
                        </w:rPr>
                        <w:t xml:space="preserve"> </w:t>
                      </w:r>
                      <w:r w:rsidR="00914134">
                        <w:rPr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22D49D6" w14:textId="77777777" w:rsidR="00463364" w:rsidRPr="00054AC9" w:rsidRDefault="00463364" w:rsidP="00463364">
      <w:pPr>
        <w:pStyle w:val="05Cuerpo"/>
        <w:rPr>
          <w:rFonts w:cs="Arial"/>
        </w:rPr>
      </w:pPr>
    </w:p>
    <w:p w14:paraId="1E7647D3" w14:textId="77777777" w:rsidR="00463364" w:rsidRPr="00054AC9" w:rsidRDefault="00463364" w:rsidP="00463364">
      <w:pPr>
        <w:pStyle w:val="05Cuerpo"/>
        <w:rPr>
          <w:rFonts w:cs="Arial"/>
        </w:rPr>
      </w:pPr>
    </w:p>
    <w:p w14:paraId="5E97BC7D" w14:textId="55463B38" w:rsidR="00401C24" w:rsidRDefault="00401C24" w:rsidP="00463364">
      <w:pPr>
        <w:pStyle w:val="05Cuerpo"/>
        <w:rPr>
          <w:rFonts w:ascii="Times New Roman"/>
          <w:sz w:val="14"/>
        </w:rPr>
      </w:pPr>
    </w:p>
    <w:p w14:paraId="025AABD7" w14:textId="6F9EC8DE" w:rsidR="00662369" w:rsidRDefault="00662369" w:rsidP="00463364">
      <w:pPr>
        <w:pStyle w:val="05Cuerpo"/>
        <w:rPr>
          <w:rFonts w:ascii="Times New Roman"/>
          <w:sz w:val="14"/>
        </w:rPr>
      </w:pPr>
    </w:p>
    <w:p w14:paraId="398CEEBA" w14:textId="6EAF212C" w:rsidR="00662369" w:rsidRDefault="00662369" w:rsidP="00463364">
      <w:pPr>
        <w:pStyle w:val="05Cuerpo"/>
        <w:rPr>
          <w:rFonts w:ascii="Times New Roman"/>
          <w:sz w:val="14"/>
        </w:rPr>
      </w:pPr>
    </w:p>
    <w:p w14:paraId="4F987963" w14:textId="2775B417" w:rsidR="00662369" w:rsidRDefault="00662369" w:rsidP="00463364">
      <w:pPr>
        <w:pStyle w:val="05Cuerpo"/>
        <w:rPr>
          <w:rFonts w:ascii="Times New Roman"/>
          <w:sz w:val="14"/>
        </w:rPr>
      </w:pPr>
    </w:p>
    <w:p w14:paraId="534C2507" w14:textId="32307A59" w:rsidR="00662369" w:rsidRDefault="00662369" w:rsidP="00463364">
      <w:pPr>
        <w:pStyle w:val="05Cuerpo"/>
        <w:rPr>
          <w:rFonts w:ascii="Times New Roman"/>
          <w:sz w:val="14"/>
        </w:rPr>
      </w:pPr>
      <w:r>
        <w:rPr>
          <w:b/>
          <w:bCs/>
          <w:noProof/>
          <w:color w:val="365F91"/>
        </w:rPr>
        <w:drawing>
          <wp:inline distT="19050" distB="19050" distL="19050" distR="19050" wp14:anchorId="25B75284" wp14:editId="04E55FCF">
            <wp:extent cx="5429250" cy="286702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867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C4F802" w14:textId="776B2935" w:rsidR="00662369" w:rsidRDefault="00662369" w:rsidP="00463364">
      <w:pPr>
        <w:pStyle w:val="05Cuerpo"/>
        <w:rPr>
          <w:rFonts w:ascii="Times New Roman"/>
          <w:sz w:val="14"/>
        </w:rPr>
      </w:pPr>
    </w:p>
    <w:p w14:paraId="6518D734" w14:textId="77777777" w:rsidR="00662369" w:rsidRDefault="00662369" w:rsidP="00463364">
      <w:pPr>
        <w:pStyle w:val="05Cuerpo"/>
        <w:rPr>
          <w:rFonts w:ascii="Times New Roman"/>
          <w:sz w:val="14"/>
        </w:rPr>
      </w:pPr>
    </w:p>
    <w:p w14:paraId="1569265F" w14:textId="0FC0D485" w:rsidR="00463364" w:rsidRDefault="00CB1589" w:rsidP="00463364">
      <w:pPr>
        <w:pStyle w:val="05Cuerpo"/>
        <w:rPr>
          <w:rFonts w:ascii="Times New Roman"/>
          <w:sz w:val="14"/>
        </w:rPr>
      </w:pPr>
      <w:r w:rsidRPr="008B675A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 wp14:anchorId="266BA9C5" wp14:editId="0B5CB905">
                <wp:simplePos x="0" y="0"/>
                <wp:positionH relativeFrom="column">
                  <wp:posOffset>-296545</wp:posOffset>
                </wp:positionH>
                <wp:positionV relativeFrom="paragraph">
                  <wp:posOffset>131445</wp:posOffset>
                </wp:positionV>
                <wp:extent cx="7644130" cy="438150"/>
                <wp:effectExtent l="0" t="0" r="0" b="0"/>
                <wp:wrapNone/>
                <wp:docPr id="6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381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179786" w14:textId="412477DC" w:rsidR="00CB1589" w:rsidRPr="0080012B" w:rsidRDefault="00850B80" w:rsidP="00FE1AC9">
                            <w:pPr>
                              <w:pStyle w:val="Ttulo1"/>
                              <w:ind w:left="0"/>
                              <w:rPr>
                                <w:sz w:val="24"/>
                                <w:lang w:val="es-MX"/>
                              </w:rPr>
                            </w:pPr>
                            <w:bookmarkStart w:id="20" w:name="_Toc219283572"/>
                            <w:bookmarkStart w:id="21" w:name="_Toc219288209"/>
                            <w:bookmarkStart w:id="22" w:name="_Toc219289442"/>
                            <w:bookmarkStart w:id="23" w:name="_Toc219289956"/>
                            <w:bookmarkStart w:id="24" w:name="_Toc219290369"/>
                            <w:r>
                              <w:rPr>
                                <w:sz w:val="36"/>
                                <w:szCs w:val="36"/>
                                <w:lang w:val="es-MX"/>
                              </w:rPr>
                              <w:t>5</w:t>
                            </w:r>
                            <w:r w:rsidR="00CB1589" w:rsidRPr="00662369">
                              <w:rPr>
                                <w:szCs w:val="40"/>
                                <w:lang w:val="es-MX"/>
                              </w:rPr>
                              <w:t xml:space="preserve">. </w:t>
                            </w:r>
                            <w:bookmarkEnd w:id="20"/>
                            <w:bookmarkEnd w:id="21"/>
                            <w:r w:rsidR="00FE1AC9" w:rsidRPr="00FE1AC9">
                              <w:rPr>
                                <w:sz w:val="28"/>
                                <w:szCs w:val="28"/>
                              </w:rPr>
                              <w:t>EVALUACIÓN INICIAL (DETALLADA PARA MÉDICOS GENERALES</w:t>
                            </w:r>
                            <w:bookmarkEnd w:id="22"/>
                            <w:bookmarkEnd w:id="23"/>
                            <w:bookmarkEnd w:id="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BA9C5" id="_x0000_s1033" style="position:absolute;left:0;text-align:left;margin-left:-23.35pt;margin-top:10.35pt;width:601.9pt;height:34.5pt;z-index:4876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" fillcolor="#736363" stroked="f" strokeweight="2pt">
                <v:textbox>
                  <w:txbxContent>
                    <w:p w14:paraId="4A179786" w14:textId="412477DC" w:rsidR="00CB1589" w:rsidRPr="0080012B" w:rsidRDefault="00850B80" w:rsidP="00FE1AC9">
                      <w:pPr>
                        <w:pStyle w:val="Ttulo1"/>
                        <w:ind w:left="0"/>
                        <w:rPr>
                          <w:sz w:val="24"/>
                          <w:lang w:val="es-MX"/>
                        </w:rPr>
                      </w:pPr>
                      <w:bookmarkStart w:id="45" w:name="_Toc219283572"/>
                      <w:bookmarkStart w:id="46" w:name="_Toc219288209"/>
                      <w:bookmarkStart w:id="47" w:name="_Toc219289442"/>
                      <w:bookmarkStart w:id="48" w:name="_Toc219289956"/>
                      <w:bookmarkStart w:id="49" w:name="_Toc219290369"/>
                      <w:r>
                        <w:rPr>
                          <w:sz w:val="36"/>
                          <w:szCs w:val="36"/>
                          <w:lang w:val="es-MX"/>
                        </w:rPr>
                        <w:t>5</w:t>
                      </w:r>
                      <w:r w:rsidR="00CB1589" w:rsidRPr="00662369">
                        <w:rPr>
                          <w:szCs w:val="40"/>
                          <w:lang w:val="es-MX"/>
                        </w:rPr>
                        <w:t xml:space="preserve">. </w:t>
                      </w:r>
                      <w:bookmarkEnd w:id="45"/>
                      <w:bookmarkEnd w:id="46"/>
                      <w:r w:rsidR="00FE1AC9" w:rsidRPr="00FE1AC9">
                        <w:rPr>
                          <w:sz w:val="28"/>
                          <w:szCs w:val="28"/>
                        </w:rPr>
                        <w:t>EVALUACIÓN INICIAL (DETALLADA PARA MÉDICOS GENERALES</w:t>
                      </w:r>
                      <w:bookmarkEnd w:id="47"/>
                      <w:bookmarkEnd w:id="48"/>
                      <w:bookmarkEnd w:id="49"/>
                    </w:p>
                  </w:txbxContent>
                </v:textbox>
              </v:rect>
            </w:pict>
          </mc:Fallback>
        </mc:AlternateContent>
      </w:r>
    </w:p>
    <w:p w14:paraId="7DF1CE52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40850864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4A9FADAF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6AD6E5BE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5933C298" w14:textId="77777777" w:rsidR="00662369" w:rsidRPr="00FE1AC9" w:rsidRDefault="00850B80" w:rsidP="00662369">
      <w:pPr>
        <w:spacing w:before="267"/>
        <w:rPr>
          <w:b/>
          <w:bCs/>
          <w:color w:val="000000" w:themeColor="text1"/>
          <w:szCs w:val="24"/>
        </w:rPr>
      </w:pPr>
      <w:r w:rsidRPr="00FE1AC9">
        <w:rPr>
          <w:rFonts w:ascii="Noto Sans Symbols" w:eastAsia="Noto Sans Symbols" w:hAnsi="Noto Sans Symbols" w:cs="Noto Sans Symbols"/>
          <w:color w:val="000000" w:themeColor="text1"/>
          <w:szCs w:val="24"/>
        </w:rPr>
        <w:t xml:space="preserve"> </w:t>
      </w:r>
      <w:r w:rsidR="00662369" w:rsidRPr="00FE1AC9">
        <w:rPr>
          <w:b/>
          <w:bCs/>
          <w:color w:val="000000" w:themeColor="text1"/>
          <w:szCs w:val="24"/>
        </w:rPr>
        <w:t xml:space="preserve">A. Confirmación del resultado </w:t>
      </w:r>
    </w:p>
    <w:p w14:paraId="31BD33A3" w14:textId="77777777" w:rsidR="00662369" w:rsidRDefault="00662369" w:rsidP="00662369">
      <w:pPr>
        <w:spacing w:before="62"/>
        <w:ind w:left="20"/>
        <w:rPr>
          <w:szCs w:val="24"/>
        </w:rPr>
      </w:pPr>
      <w:r>
        <w:rPr>
          <w:szCs w:val="24"/>
        </w:rPr>
        <w:t xml:space="preserve">1. Confirmar </w:t>
      </w:r>
      <w:proofErr w:type="spellStart"/>
      <w:r>
        <w:rPr>
          <w:szCs w:val="24"/>
        </w:rPr>
        <w:t>hiperkalemia</w:t>
      </w:r>
      <w:proofErr w:type="spellEnd"/>
      <w:r>
        <w:rPr>
          <w:szCs w:val="24"/>
        </w:rPr>
        <w:t xml:space="preserve">: </w:t>
      </w:r>
    </w:p>
    <w:p w14:paraId="4272B5B4" w14:textId="77777777" w:rsidR="00662369" w:rsidRDefault="00662369" w:rsidP="00662369">
      <w:pPr>
        <w:spacing w:before="51" w:line="280" w:lineRule="auto"/>
        <w:ind w:left="17" w:right="708"/>
        <w:rPr>
          <w:szCs w:val="24"/>
        </w:rPr>
      </w:pPr>
      <w:r>
        <w:rPr>
          <w:szCs w:val="24"/>
        </w:rPr>
        <w:t xml:space="preserve"> - Sin síntomas ni factores de riesgo agudos, repetir muestra para descartar pseudo </w:t>
      </w:r>
      <w:proofErr w:type="spellStart"/>
      <w:r>
        <w:rPr>
          <w:szCs w:val="24"/>
        </w:rPr>
        <w:t>hiperkalemia</w:t>
      </w:r>
      <w:proofErr w:type="spellEnd"/>
      <w:r>
        <w:rPr>
          <w:szCs w:val="24"/>
        </w:rPr>
        <w:t xml:space="preserve">. </w:t>
      </w:r>
    </w:p>
    <w:p w14:paraId="45B18ACA" w14:textId="77777777" w:rsidR="00662369" w:rsidRDefault="00662369" w:rsidP="00662369">
      <w:pPr>
        <w:spacing w:before="12"/>
        <w:rPr>
          <w:szCs w:val="24"/>
        </w:rPr>
      </w:pPr>
      <w:r>
        <w:rPr>
          <w:szCs w:val="24"/>
        </w:rPr>
        <w:lastRenderedPageBreak/>
        <w:t xml:space="preserve"> - Si síntomas clínicos o riesgo elevado, actuar sin esperar nueva muestra. </w:t>
      </w:r>
    </w:p>
    <w:p w14:paraId="47263D66" w14:textId="77777777" w:rsidR="00662369" w:rsidRDefault="00662369" w:rsidP="00662369">
      <w:pPr>
        <w:spacing w:before="251"/>
        <w:ind w:left="20"/>
        <w:rPr>
          <w:b/>
          <w:bCs/>
          <w:color w:val="4F81BD"/>
          <w:szCs w:val="24"/>
        </w:rPr>
      </w:pPr>
    </w:p>
    <w:p w14:paraId="210E5FFA" w14:textId="77777777" w:rsidR="00662369" w:rsidRPr="00FE1AC9" w:rsidRDefault="00662369" w:rsidP="00662369">
      <w:pPr>
        <w:spacing w:before="251"/>
        <w:ind w:left="20"/>
        <w:rPr>
          <w:b/>
          <w:bCs/>
          <w:color w:val="000000" w:themeColor="text1"/>
          <w:szCs w:val="24"/>
        </w:rPr>
      </w:pPr>
      <w:r w:rsidRPr="00FE1AC9">
        <w:rPr>
          <w:b/>
          <w:bCs/>
          <w:color w:val="000000" w:themeColor="text1"/>
          <w:szCs w:val="24"/>
        </w:rPr>
        <w:t xml:space="preserve">B. Evaluación clínica </w:t>
      </w:r>
    </w:p>
    <w:p w14:paraId="3F84BF34" w14:textId="77777777" w:rsidR="00662369" w:rsidRPr="00FE1AC9" w:rsidRDefault="00662369" w:rsidP="00662369">
      <w:pPr>
        <w:spacing w:before="62"/>
        <w:ind w:left="18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Preguntar y registrar: </w:t>
      </w:r>
    </w:p>
    <w:p w14:paraId="62A80F5F" w14:textId="77777777" w:rsidR="00662369" w:rsidRPr="00FE1AC9" w:rsidRDefault="00662369" w:rsidP="00662369">
      <w:pPr>
        <w:spacing w:before="51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¿Hay síntomas musculares? (debilidad, parestesias) </w:t>
      </w:r>
    </w:p>
    <w:p w14:paraId="6462956A" w14:textId="77777777" w:rsidR="00662369" w:rsidRPr="00FE1AC9" w:rsidRDefault="00662369" w:rsidP="00662369">
      <w:pPr>
        <w:spacing w:before="52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¿Palpitaciones o síncope? </w:t>
      </w:r>
    </w:p>
    <w:p w14:paraId="350ADE8C" w14:textId="77777777" w:rsidR="00662369" w:rsidRPr="00FE1AC9" w:rsidRDefault="00662369" w:rsidP="00662369">
      <w:pPr>
        <w:spacing w:before="49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¿Oliguria, anuria o cambios en diuresis? </w:t>
      </w:r>
    </w:p>
    <w:p w14:paraId="7D086EEE" w14:textId="77777777" w:rsidR="00662369" w:rsidRPr="00FE1AC9" w:rsidRDefault="00662369" w:rsidP="00662369">
      <w:pPr>
        <w:spacing w:before="51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¿Cambios en dieta o uso de suplementos de potasio? </w:t>
      </w:r>
    </w:p>
    <w:p w14:paraId="4794AB01" w14:textId="77777777" w:rsidR="00662369" w:rsidRPr="00FE1AC9" w:rsidRDefault="00662369" w:rsidP="00662369">
      <w:pPr>
        <w:spacing w:before="51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¿Diarrea o estreñimiento severo? </w:t>
      </w:r>
    </w:p>
    <w:p w14:paraId="2D7119A9" w14:textId="77777777" w:rsidR="00662369" w:rsidRPr="00FE1AC9" w:rsidRDefault="00662369" w:rsidP="00662369">
      <w:pPr>
        <w:spacing w:before="49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¿Inicio reciente de fármacos? </w:t>
      </w:r>
    </w:p>
    <w:p w14:paraId="66F22921" w14:textId="77777777" w:rsidR="00662369" w:rsidRPr="00FE1AC9" w:rsidRDefault="00662369" w:rsidP="00662369">
      <w:pPr>
        <w:spacing w:before="361"/>
        <w:ind w:left="18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Exploración física: </w:t>
      </w:r>
    </w:p>
    <w:p w14:paraId="7320D4CA" w14:textId="77777777" w:rsidR="00662369" w:rsidRPr="00FE1AC9" w:rsidRDefault="00662369" w:rsidP="00662369">
      <w:pPr>
        <w:spacing w:before="49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Signos de sobrecarga o deshidratación </w:t>
      </w:r>
    </w:p>
    <w:p w14:paraId="4D90489C" w14:textId="77777777" w:rsidR="00662369" w:rsidRPr="00FE1AC9" w:rsidRDefault="00662369" w:rsidP="00662369">
      <w:pPr>
        <w:spacing w:before="51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Pulso irregular, bradicardia </w:t>
      </w:r>
    </w:p>
    <w:p w14:paraId="333E72FF" w14:textId="77777777" w:rsidR="00662369" w:rsidRPr="00FE1AC9" w:rsidRDefault="00662369" w:rsidP="00662369">
      <w:pPr>
        <w:spacing w:before="51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Evaluación neuromuscular </w:t>
      </w:r>
    </w:p>
    <w:p w14:paraId="7DCE70CE" w14:textId="77777777" w:rsidR="00662369" w:rsidRPr="00FE1AC9" w:rsidRDefault="00662369" w:rsidP="00662369">
      <w:pPr>
        <w:spacing w:before="251"/>
        <w:ind w:left="12"/>
        <w:rPr>
          <w:b/>
          <w:bCs/>
          <w:color w:val="000000" w:themeColor="text1"/>
          <w:szCs w:val="24"/>
        </w:rPr>
      </w:pPr>
      <w:r w:rsidRPr="00FE1AC9">
        <w:rPr>
          <w:b/>
          <w:bCs/>
          <w:color w:val="000000" w:themeColor="text1"/>
          <w:szCs w:val="24"/>
        </w:rPr>
        <w:t xml:space="preserve">C. Electrocardiograma (EKG) </w:t>
      </w:r>
    </w:p>
    <w:p w14:paraId="73CA9CAC" w14:textId="77777777" w:rsidR="00662369" w:rsidRPr="00FE1AC9" w:rsidRDefault="00662369" w:rsidP="00662369">
      <w:pPr>
        <w:spacing w:before="62"/>
        <w:ind w:left="18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Indicado si: </w:t>
      </w:r>
    </w:p>
    <w:p w14:paraId="3EE96CD8" w14:textId="77777777" w:rsidR="00662369" w:rsidRDefault="00662369" w:rsidP="00662369">
      <w:pPr>
        <w:spacing w:before="51"/>
        <w:ind w:left="10"/>
        <w:rPr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 xml:space="preserve">- K+ ≥6.0 mEq/L </w:t>
      </w:r>
    </w:p>
    <w:p w14:paraId="1C0165C6" w14:textId="77777777" w:rsidR="00662369" w:rsidRDefault="00662369" w:rsidP="00662369">
      <w:pPr>
        <w:spacing w:before="49"/>
        <w:ind w:left="10"/>
        <w:rPr>
          <w:szCs w:val="24"/>
        </w:rPr>
      </w:pPr>
      <w:r>
        <w:rPr>
          <w:szCs w:val="24"/>
        </w:rPr>
        <w:t xml:space="preserve">- Síntomas neuromusculares o cardíacos </w:t>
      </w:r>
    </w:p>
    <w:p w14:paraId="7CAA2575" w14:textId="77777777" w:rsidR="00662369" w:rsidRDefault="00662369" w:rsidP="00662369">
      <w:pPr>
        <w:spacing w:before="51"/>
        <w:ind w:left="10"/>
        <w:rPr>
          <w:szCs w:val="24"/>
        </w:rPr>
      </w:pPr>
      <w:r>
        <w:rPr>
          <w:szCs w:val="24"/>
        </w:rPr>
        <w:t xml:space="preserve">- ERC avanzada (estadio 4–5) </w:t>
      </w:r>
    </w:p>
    <w:p w14:paraId="266BF31D" w14:textId="77777777" w:rsidR="00662369" w:rsidRDefault="00662369" w:rsidP="00662369">
      <w:pPr>
        <w:spacing w:before="51"/>
        <w:ind w:left="10"/>
      </w:pPr>
    </w:p>
    <w:p w14:paraId="165A71E2" w14:textId="77777777" w:rsidR="00662369" w:rsidRDefault="00662369" w:rsidP="00662369">
      <w:pPr>
        <w:spacing w:before="359"/>
        <w:ind w:left="11"/>
      </w:pPr>
      <w:r>
        <w:rPr>
          <w:sz w:val="22"/>
        </w:rPr>
        <w:t>Cambios en el EKG = emergencia médica</w:t>
      </w:r>
    </w:p>
    <w:p w14:paraId="26CFB67B" w14:textId="77777777" w:rsidR="00662369" w:rsidRDefault="00662369" w:rsidP="00662369">
      <w:pPr>
        <w:spacing w:before="359"/>
        <w:ind w:left="11"/>
      </w:pPr>
    </w:p>
    <w:tbl>
      <w:tblPr>
        <w:tblW w:w="922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1365"/>
        <w:gridCol w:w="2700"/>
        <w:gridCol w:w="3165"/>
      </w:tblGrid>
      <w:tr w:rsidR="00662369" w14:paraId="0DBE6715" w14:textId="77777777" w:rsidTr="00D43B75">
        <w:trPr>
          <w:trHeight w:val="1212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5C30" w14:textId="77777777" w:rsidR="00662369" w:rsidRDefault="00662369" w:rsidP="00D43B75">
            <w:pPr>
              <w:ind w:left="50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Grado de  </w:t>
            </w:r>
          </w:p>
          <w:p w14:paraId="35154633" w14:textId="77777777" w:rsidR="00662369" w:rsidRDefault="00662369" w:rsidP="00D43B75">
            <w:pPr>
              <w:spacing w:before="51"/>
              <w:ind w:left="57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Hiperkalemia</w:t>
            </w:r>
            <w:proofErr w:type="spellEnd"/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E52D" w14:textId="77777777" w:rsidR="00662369" w:rsidRDefault="00662369" w:rsidP="00D43B75">
            <w:pPr>
              <w:ind w:left="46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Potasio  </w:t>
            </w:r>
          </w:p>
          <w:p w14:paraId="178EB03D" w14:textId="77777777" w:rsidR="00662369" w:rsidRDefault="00662369" w:rsidP="00D43B75">
            <w:pPr>
              <w:spacing w:before="51"/>
              <w:ind w:left="37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Sérico  </w:t>
            </w:r>
          </w:p>
          <w:p w14:paraId="580BD32C" w14:textId="77777777" w:rsidR="00662369" w:rsidRDefault="00662369" w:rsidP="00D43B75">
            <w:pPr>
              <w:spacing w:before="54"/>
              <w:ind w:left="38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(K</w:t>
            </w:r>
            <w:r>
              <w:rPr>
                <w:rFonts w:ascii="Cambria Math" w:eastAsia="Cambria Math" w:hAnsi="Cambria Math" w:cs="Cambria Math"/>
                <w:sz w:val="22"/>
              </w:rPr>
              <w:t>⁺</w:t>
            </w:r>
            <w:r>
              <w:rPr>
                <w:b/>
                <w:bCs/>
                <w:sz w:val="22"/>
              </w:rPr>
              <w:t>)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35F8" w14:textId="77777777" w:rsidR="00662369" w:rsidRDefault="00662369" w:rsidP="00D43B75">
            <w:pPr>
              <w:ind w:left="39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Cambios en el ECG</w:t>
            </w:r>
          </w:p>
        </w:tc>
        <w:tc>
          <w:tcPr>
            <w:tcW w:w="31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05605" w14:textId="77777777" w:rsidR="00662369" w:rsidRDefault="00662369" w:rsidP="00D43B75">
            <w:pPr>
              <w:spacing w:line="280" w:lineRule="auto"/>
              <w:ind w:left="46" w:right="278" w:hanging="6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Comentarios </w:t>
            </w:r>
            <w:proofErr w:type="gramStart"/>
            <w:r>
              <w:rPr>
                <w:b/>
                <w:bCs/>
                <w:sz w:val="22"/>
              </w:rPr>
              <w:t>Clínicos  Relevantes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</w:p>
          <w:p w14:paraId="6DA0B902" w14:textId="77777777" w:rsidR="00662369" w:rsidRDefault="00662369" w:rsidP="00D43B75">
            <w:pPr>
              <w:spacing w:before="449"/>
              <w:ind w:left="48"/>
            </w:pPr>
          </w:p>
          <w:p w14:paraId="49E66E99" w14:textId="77777777" w:rsidR="00662369" w:rsidRDefault="00662369" w:rsidP="00D43B75">
            <w:pPr>
              <w:spacing w:before="449"/>
              <w:ind w:left="48"/>
            </w:pPr>
            <w:r>
              <w:rPr>
                <w:sz w:val="22"/>
              </w:rPr>
              <w:t xml:space="preserve">ECG aún puede ser  </w:t>
            </w:r>
          </w:p>
          <w:p w14:paraId="282DBA93" w14:textId="77777777" w:rsidR="00662369" w:rsidRDefault="00662369" w:rsidP="00D43B75">
            <w:pPr>
              <w:spacing w:before="51" w:line="280" w:lineRule="auto"/>
              <w:ind w:left="46" w:right="105"/>
            </w:pPr>
            <w:r>
              <w:rPr>
                <w:sz w:val="22"/>
              </w:rPr>
              <w:t xml:space="preserve">normal; cambios </w:t>
            </w:r>
            <w:proofErr w:type="gramStart"/>
            <w:r>
              <w:rPr>
                <w:sz w:val="22"/>
              </w:rPr>
              <w:t>sutiles,  requieren</w:t>
            </w:r>
            <w:proofErr w:type="gramEnd"/>
            <w:r>
              <w:rPr>
                <w:sz w:val="22"/>
              </w:rPr>
              <w:t xml:space="preserve"> vigilancia. </w:t>
            </w:r>
          </w:p>
          <w:p w14:paraId="7D5B6ED1" w14:textId="77777777" w:rsidR="00662369" w:rsidRDefault="00662369" w:rsidP="00D43B75">
            <w:pPr>
              <w:spacing w:before="293" w:line="279" w:lineRule="auto"/>
              <w:ind w:left="40" w:right="4" w:firstLine="7"/>
            </w:pPr>
          </w:p>
          <w:p w14:paraId="37B74AD4" w14:textId="77777777" w:rsidR="00662369" w:rsidRDefault="00662369" w:rsidP="00D43B75">
            <w:pPr>
              <w:spacing w:before="293" w:line="279" w:lineRule="auto"/>
              <w:ind w:left="40" w:right="4" w:firstLine="7"/>
            </w:pPr>
            <w:r>
              <w:rPr>
                <w:sz w:val="22"/>
              </w:rPr>
              <w:t xml:space="preserve">Indican progresión; </w:t>
            </w:r>
            <w:proofErr w:type="gramStart"/>
            <w:r>
              <w:rPr>
                <w:sz w:val="22"/>
              </w:rPr>
              <w:t>riesgo  de</w:t>
            </w:r>
            <w:proofErr w:type="gramEnd"/>
            <w:r>
              <w:rPr>
                <w:sz w:val="22"/>
              </w:rPr>
              <w:t xml:space="preserve"> bloqueo AV si no se  interviene.</w:t>
            </w:r>
          </w:p>
        </w:tc>
      </w:tr>
      <w:tr w:rsidR="00662369" w14:paraId="63CA378C" w14:textId="77777777" w:rsidTr="00D43B75">
        <w:trPr>
          <w:trHeight w:val="1204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54FB8" w14:textId="77777777" w:rsidR="00662369" w:rsidRDefault="00662369" w:rsidP="00D43B75">
            <w:pPr>
              <w:ind w:left="57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Leve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01D70" w14:textId="77777777" w:rsidR="00662369" w:rsidRDefault="00662369" w:rsidP="00D43B75">
            <w:pPr>
              <w:spacing w:line="278" w:lineRule="auto"/>
              <w:ind w:left="46" w:right="192" w:hanging="7"/>
            </w:pPr>
            <w:r>
              <w:rPr>
                <w:sz w:val="22"/>
              </w:rPr>
              <w:t xml:space="preserve">5.5 – </w:t>
            </w:r>
            <w:proofErr w:type="gramStart"/>
            <w:r>
              <w:rPr>
                <w:sz w:val="22"/>
              </w:rPr>
              <w:t>5.9  mEq</w:t>
            </w:r>
            <w:proofErr w:type="gramEnd"/>
            <w:r>
              <w:rPr>
                <w:sz w:val="22"/>
              </w:rPr>
              <w:t>/L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121F" w14:textId="77777777" w:rsidR="00662369" w:rsidRDefault="00662369" w:rsidP="00D43B75">
            <w:pPr>
              <w:spacing w:line="280" w:lineRule="auto"/>
              <w:ind w:left="29" w:right="345" w:firstLine="9"/>
            </w:pPr>
            <w:r>
              <w:rPr>
                <w:sz w:val="22"/>
              </w:rPr>
              <w:t xml:space="preserve">- Ondas T picudas y </w:t>
            </w:r>
            <w:proofErr w:type="gramStart"/>
            <w:r>
              <w:rPr>
                <w:sz w:val="22"/>
              </w:rPr>
              <w:t>simétricas,  especialmente</w:t>
            </w:r>
            <w:proofErr w:type="gramEnd"/>
            <w:r>
              <w:rPr>
                <w:sz w:val="22"/>
              </w:rPr>
              <w:t xml:space="preserve"> en precordiales Acortamiento del QT</w:t>
            </w:r>
          </w:p>
        </w:tc>
        <w:tc>
          <w:tcPr>
            <w:tcW w:w="31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2378F" w14:textId="77777777" w:rsidR="00662369" w:rsidRDefault="00662369" w:rsidP="00D43B75"/>
        </w:tc>
      </w:tr>
      <w:tr w:rsidR="00662369" w14:paraId="0C08EE0D" w14:textId="77777777" w:rsidTr="00D43B75">
        <w:trPr>
          <w:trHeight w:val="1184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1E474" w14:textId="77777777" w:rsidR="00662369" w:rsidRDefault="00662369" w:rsidP="00D43B75">
            <w:pPr>
              <w:ind w:left="57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Moderada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13E1" w14:textId="77777777" w:rsidR="00662369" w:rsidRDefault="00662369" w:rsidP="00D43B75">
            <w:pPr>
              <w:spacing w:line="280" w:lineRule="auto"/>
              <w:ind w:left="46" w:right="192" w:hanging="7"/>
            </w:pPr>
            <w:r>
              <w:rPr>
                <w:sz w:val="22"/>
              </w:rPr>
              <w:t xml:space="preserve">6.0 – </w:t>
            </w:r>
            <w:proofErr w:type="gramStart"/>
            <w:r>
              <w:rPr>
                <w:sz w:val="22"/>
              </w:rPr>
              <w:t>6.4  mEq</w:t>
            </w:r>
            <w:proofErr w:type="gramEnd"/>
            <w:r>
              <w:rPr>
                <w:sz w:val="22"/>
              </w:rPr>
              <w:t>/L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55B21" w14:textId="77777777" w:rsidR="00662369" w:rsidRDefault="00662369" w:rsidP="00D43B75">
            <w:pPr>
              <w:spacing w:line="280" w:lineRule="auto"/>
              <w:ind w:left="32" w:right="516" w:firstLine="7"/>
            </w:pPr>
            <w:r>
              <w:rPr>
                <w:sz w:val="22"/>
              </w:rPr>
              <w:t>- Ondas T muy picudas ("</w:t>
            </w:r>
            <w:proofErr w:type="gramStart"/>
            <w:r>
              <w:rPr>
                <w:sz w:val="22"/>
              </w:rPr>
              <w:t>en  tienda</w:t>
            </w:r>
            <w:proofErr w:type="gramEnd"/>
            <w:r>
              <w:rPr>
                <w:sz w:val="22"/>
              </w:rPr>
              <w:t xml:space="preserve">")- Prolongación del PR. </w:t>
            </w:r>
            <w:r>
              <w:rPr>
                <w:sz w:val="20"/>
                <w:szCs w:val="20"/>
              </w:rPr>
              <w:t>Disminución de amplitud de la  onda P</w:t>
            </w:r>
          </w:p>
        </w:tc>
        <w:tc>
          <w:tcPr>
            <w:tcW w:w="31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5EA43" w14:textId="77777777" w:rsidR="00662369" w:rsidRDefault="00662369" w:rsidP="00D43B75"/>
        </w:tc>
      </w:tr>
    </w:tbl>
    <w:p w14:paraId="4DA116CE" w14:textId="77777777" w:rsidR="00662369" w:rsidRDefault="00662369" w:rsidP="00662369"/>
    <w:p w14:paraId="37F4AB83" w14:textId="77777777" w:rsidR="00662369" w:rsidRDefault="00662369" w:rsidP="00662369"/>
    <w:p w14:paraId="40648FCA" w14:textId="77777777" w:rsidR="00662369" w:rsidRDefault="00662369" w:rsidP="00662369"/>
    <w:tbl>
      <w:tblPr>
        <w:tblW w:w="922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1425"/>
        <w:gridCol w:w="2700"/>
        <w:gridCol w:w="3150"/>
      </w:tblGrid>
      <w:tr w:rsidR="00662369" w14:paraId="1623EBC8" w14:textId="77777777" w:rsidTr="00D43B75">
        <w:trPr>
          <w:trHeight w:val="1209"/>
        </w:trPr>
        <w:tc>
          <w:tcPr>
            <w:tcW w:w="19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11FF" w14:textId="77777777" w:rsidR="00662369" w:rsidRDefault="00662369" w:rsidP="00D43B75">
            <w:pPr>
              <w:spacing w:before="1856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Severa </w:t>
            </w:r>
          </w:p>
          <w:p w14:paraId="5DD846C4" w14:textId="77777777" w:rsidR="00662369" w:rsidRDefault="00662369" w:rsidP="00D43B75">
            <w:pPr>
              <w:spacing w:before="1103"/>
              <w:ind w:left="60"/>
              <w:rPr>
                <w:b/>
                <w:bCs/>
              </w:rPr>
            </w:pPr>
          </w:p>
          <w:p w14:paraId="4D1FB308" w14:textId="77777777" w:rsidR="00662369" w:rsidRDefault="00662369" w:rsidP="00D43B75">
            <w:pPr>
              <w:spacing w:before="1103"/>
              <w:ind w:left="60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Crítica /  </w:t>
            </w:r>
          </w:p>
          <w:p w14:paraId="54240DFA" w14:textId="77777777" w:rsidR="00662369" w:rsidRDefault="00662369" w:rsidP="00D43B75">
            <w:pPr>
              <w:spacing w:before="51"/>
              <w:ind w:left="67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Preterminal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0205" w14:textId="77777777" w:rsidR="00662369" w:rsidRDefault="00662369" w:rsidP="00D43B75">
            <w:pPr>
              <w:ind w:left="43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Potasio  </w:t>
            </w:r>
          </w:p>
          <w:p w14:paraId="540F3742" w14:textId="77777777" w:rsidR="00662369" w:rsidRDefault="00662369" w:rsidP="00D43B75">
            <w:pPr>
              <w:spacing w:before="51"/>
              <w:ind w:left="34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Sérico  </w:t>
            </w:r>
          </w:p>
          <w:p w14:paraId="66C7B6B7" w14:textId="77777777" w:rsidR="00662369" w:rsidRDefault="00662369" w:rsidP="00D43B75">
            <w:pPr>
              <w:spacing w:before="51"/>
              <w:ind w:left="35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(K</w:t>
            </w:r>
            <w:r>
              <w:rPr>
                <w:rFonts w:ascii="Cambria Math" w:eastAsia="Cambria Math" w:hAnsi="Cambria Math" w:cs="Cambria Math"/>
                <w:sz w:val="22"/>
              </w:rPr>
              <w:t>⁺</w:t>
            </w:r>
            <w:r>
              <w:rPr>
                <w:b/>
                <w:bCs/>
                <w:sz w:val="22"/>
              </w:rPr>
              <w:t>)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7F39" w14:textId="77777777" w:rsidR="00662369" w:rsidRDefault="00662369" w:rsidP="00D43B75">
            <w:pPr>
              <w:ind w:left="37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Cambios en el ECG</w:t>
            </w:r>
          </w:p>
        </w:tc>
        <w:tc>
          <w:tcPr>
            <w:tcW w:w="31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6108" w14:textId="77777777" w:rsidR="00662369" w:rsidRDefault="00662369" w:rsidP="00D43B75">
            <w:pPr>
              <w:spacing w:line="280" w:lineRule="auto"/>
              <w:ind w:left="43" w:right="277" w:hanging="6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Comentarios </w:t>
            </w:r>
            <w:proofErr w:type="gramStart"/>
            <w:r>
              <w:rPr>
                <w:b/>
                <w:bCs/>
                <w:sz w:val="22"/>
              </w:rPr>
              <w:t>Clínicos  Relevantes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</w:p>
          <w:p w14:paraId="24615A02" w14:textId="77777777" w:rsidR="00662369" w:rsidRDefault="00662369" w:rsidP="00D43B75">
            <w:pPr>
              <w:spacing w:before="1510"/>
              <w:ind w:left="45"/>
            </w:pPr>
            <w:r>
              <w:rPr>
                <w:sz w:val="22"/>
              </w:rPr>
              <w:t xml:space="preserve">Puede progresar  </w:t>
            </w:r>
          </w:p>
          <w:p w14:paraId="45C6B9FF" w14:textId="77777777" w:rsidR="00662369" w:rsidRDefault="00662369" w:rsidP="00D43B75">
            <w:pPr>
              <w:spacing w:before="51" w:line="280" w:lineRule="auto"/>
              <w:ind w:left="30" w:right="63" w:firstLine="13"/>
            </w:pPr>
            <w:r>
              <w:rPr>
                <w:sz w:val="22"/>
              </w:rPr>
              <w:t xml:space="preserve">rápidamente a asistolia </w:t>
            </w:r>
            <w:proofErr w:type="gramStart"/>
            <w:r>
              <w:rPr>
                <w:sz w:val="22"/>
              </w:rPr>
              <w:t>o  fibrilación</w:t>
            </w:r>
            <w:proofErr w:type="gramEnd"/>
            <w:r>
              <w:rPr>
                <w:sz w:val="22"/>
              </w:rPr>
              <w:t xml:space="preserve"> ventricular. </w:t>
            </w:r>
          </w:p>
          <w:p w14:paraId="73DA391C" w14:textId="77777777" w:rsidR="00662369" w:rsidRDefault="00662369" w:rsidP="00D43B75">
            <w:pPr>
              <w:spacing w:before="447" w:line="279" w:lineRule="auto"/>
              <w:ind w:left="38" w:right="117" w:firstLine="7"/>
            </w:pPr>
          </w:p>
          <w:p w14:paraId="15CDE055" w14:textId="77777777" w:rsidR="00662369" w:rsidRDefault="00662369" w:rsidP="00D43B75">
            <w:pPr>
              <w:spacing w:before="447" w:line="279" w:lineRule="auto"/>
              <w:ind w:left="38" w:right="117" w:firstLine="7"/>
            </w:pPr>
            <w:r>
              <w:rPr>
                <w:sz w:val="22"/>
              </w:rPr>
              <w:t xml:space="preserve">Estado </w:t>
            </w:r>
            <w:proofErr w:type="spellStart"/>
            <w:proofErr w:type="gramStart"/>
            <w:r>
              <w:rPr>
                <w:sz w:val="22"/>
              </w:rPr>
              <w:t>preterminal</w:t>
            </w:r>
            <w:proofErr w:type="spellEnd"/>
            <w:r>
              <w:rPr>
                <w:sz w:val="22"/>
              </w:rPr>
              <w:t>;  requiere</w:t>
            </w:r>
            <w:proofErr w:type="gramEnd"/>
            <w:r>
              <w:rPr>
                <w:sz w:val="22"/>
              </w:rPr>
              <w:t xml:space="preserve"> tratamiento  urgente (calcio, insulina,  diálisis).</w:t>
            </w:r>
          </w:p>
        </w:tc>
      </w:tr>
      <w:tr w:rsidR="00662369" w14:paraId="2C433EE1" w14:textId="77777777" w:rsidTr="00D43B75">
        <w:trPr>
          <w:trHeight w:val="1517"/>
        </w:trPr>
        <w:tc>
          <w:tcPr>
            <w:tcW w:w="1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1565" w14:textId="77777777" w:rsidR="00662369" w:rsidRDefault="00662369" w:rsidP="00D43B75"/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6B74F" w14:textId="77777777" w:rsidR="00662369" w:rsidRDefault="00662369" w:rsidP="00D43B75">
            <w:pPr>
              <w:ind w:left="34"/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≥ 6.5  </w:t>
            </w:r>
          </w:p>
          <w:p w14:paraId="75C30FA9" w14:textId="77777777" w:rsidR="00662369" w:rsidRDefault="00662369" w:rsidP="00D43B75">
            <w:pPr>
              <w:spacing w:before="49"/>
              <w:ind w:left="43"/>
            </w:pPr>
            <w:r>
              <w:rPr>
                <w:sz w:val="22"/>
              </w:rPr>
              <w:t>mEq/L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CCEEA" w14:textId="77777777" w:rsidR="00662369" w:rsidRDefault="00662369" w:rsidP="00D43B75">
            <w:pPr>
              <w:ind w:left="37"/>
            </w:pPr>
            <w:r>
              <w:rPr>
                <w:sz w:val="22"/>
              </w:rPr>
              <w:t xml:space="preserve">- Desaparición de onda P </w:t>
            </w:r>
          </w:p>
          <w:p w14:paraId="52DABF0C" w14:textId="77777777" w:rsidR="00662369" w:rsidRDefault="00662369" w:rsidP="00D43B75">
            <w:pPr>
              <w:spacing w:before="51" w:line="279" w:lineRule="auto"/>
              <w:ind w:left="38" w:right="100" w:firstLine="7"/>
            </w:pPr>
            <w:r>
              <w:rPr>
                <w:sz w:val="22"/>
              </w:rPr>
              <w:t xml:space="preserve">Ensanchamiento del QRS- </w:t>
            </w:r>
            <w:proofErr w:type="gramStart"/>
            <w:r>
              <w:rPr>
                <w:sz w:val="22"/>
              </w:rPr>
              <w:t>Patrón  de</w:t>
            </w:r>
            <w:proofErr w:type="gramEnd"/>
            <w:r>
              <w:rPr>
                <w:sz w:val="22"/>
              </w:rPr>
              <w:t xml:space="preserve"> pseudo-RBBB o pseudo-STEMI Bradicardia</w:t>
            </w:r>
          </w:p>
        </w:tc>
        <w:tc>
          <w:tcPr>
            <w:tcW w:w="31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199C" w14:textId="77777777" w:rsidR="00662369" w:rsidRDefault="00662369" w:rsidP="00D43B75"/>
        </w:tc>
      </w:tr>
      <w:tr w:rsidR="00662369" w14:paraId="4B6CC00D" w14:textId="77777777" w:rsidTr="00D43B75">
        <w:trPr>
          <w:trHeight w:val="1514"/>
        </w:trPr>
        <w:tc>
          <w:tcPr>
            <w:tcW w:w="1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002F9" w14:textId="77777777" w:rsidR="00662369" w:rsidRDefault="00662369" w:rsidP="00D43B75"/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DE01" w14:textId="77777777" w:rsidR="00662369" w:rsidRDefault="00662369" w:rsidP="00D43B75">
            <w:pPr>
              <w:spacing w:line="280" w:lineRule="auto"/>
              <w:ind w:left="43" w:right="31" w:hanging="9"/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≥ 7.5 – </w:t>
            </w:r>
            <w:proofErr w:type="gramStart"/>
            <w:r>
              <w:rPr>
                <w:rFonts w:ascii="Arial Unicode MS" w:eastAsia="Arial Unicode MS" w:hAnsi="Arial Unicode MS" w:cs="Arial Unicode MS"/>
                <w:sz w:val="22"/>
              </w:rPr>
              <w:t>8.0  mEq</w:t>
            </w:r>
            <w:proofErr w:type="gramEnd"/>
            <w:r>
              <w:rPr>
                <w:rFonts w:ascii="Arial Unicode MS" w:eastAsia="Arial Unicode MS" w:hAnsi="Arial Unicode MS" w:cs="Arial Unicode MS"/>
                <w:sz w:val="22"/>
              </w:rPr>
              <w:t>/L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9426" w14:textId="77777777" w:rsidR="00662369" w:rsidRDefault="00662369" w:rsidP="00D43B75">
            <w:pPr>
              <w:spacing w:line="279" w:lineRule="auto"/>
              <w:ind w:left="27" w:right="98" w:firstLine="9"/>
            </w:pPr>
            <w:r>
              <w:rPr>
                <w:sz w:val="22"/>
              </w:rPr>
              <w:t>- Fusión de QRS y T (</w:t>
            </w:r>
            <w:proofErr w:type="gramStart"/>
            <w:r>
              <w:rPr>
                <w:sz w:val="22"/>
              </w:rPr>
              <w:t xml:space="preserve">patrón  </w:t>
            </w:r>
            <w:proofErr w:type="spellStart"/>
            <w:r>
              <w:rPr>
                <w:sz w:val="22"/>
              </w:rPr>
              <w:t>sinusaliforme</w:t>
            </w:r>
            <w:proofErr w:type="spellEnd"/>
            <w:proofErr w:type="gramEnd"/>
            <w:r>
              <w:rPr>
                <w:sz w:val="22"/>
              </w:rPr>
              <w:t>)- Patrón en sine  wave ("onda sinusoidal")- Asistolia</w:t>
            </w:r>
          </w:p>
        </w:tc>
        <w:tc>
          <w:tcPr>
            <w:tcW w:w="31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B29BC" w14:textId="77777777" w:rsidR="00662369" w:rsidRDefault="00662369" w:rsidP="00D43B75"/>
        </w:tc>
      </w:tr>
    </w:tbl>
    <w:p w14:paraId="261099C0" w14:textId="77777777" w:rsidR="00662369" w:rsidRDefault="00662369" w:rsidP="00662369"/>
    <w:p w14:paraId="65E72B39" w14:textId="77777777" w:rsidR="00662369" w:rsidRDefault="00662369" w:rsidP="00662369"/>
    <w:p w14:paraId="707206B1" w14:textId="77777777" w:rsidR="00662369" w:rsidRPr="00FE1AC9" w:rsidRDefault="00662369" w:rsidP="00662369">
      <w:pPr>
        <w:ind w:left="20"/>
        <w:rPr>
          <w:b/>
          <w:bCs/>
          <w:color w:val="000000" w:themeColor="text1"/>
          <w:szCs w:val="24"/>
        </w:rPr>
      </w:pPr>
      <w:r w:rsidRPr="00FE1AC9">
        <w:rPr>
          <w:b/>
          <w:bCs/>
          <w:color w:val="000000" w:themeColor="text1"/>
          <w:szCs w:val="24"/>
        </w:rPr>
        <w:t xml:space="preserve">D. Evaluación de medicación </w:t>
      </w:r>
    </w:p>
    <w:p w14:paraId="61779E19" w14:textId="77777777" w:rsidR="00662369" w:rsidRPr="00FE1AC9" w:rsidRDefault="00662369" w:rsidP="00662369">
      <w:pPr>
        <w:spacing w:before="62"/>
        <w:ind w:left="18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Revisar e interrumpir temporalmente si es seguro: </w:t>
      </w:r>
    </w:p>
    <w:p w14:paraId="44F91134" w14:textId="77777777" w:rsidR="00662369" w:rsidRPr="00FE1AC9" w:rsidRDefault="00662369" w:rsidP="00662369">
      <w:pPr>
        <w:spacing w:before="49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IECA, ARA II </w:t>
      </w:r>
    </w:p>
    <w:p w14:paraId="2215D5DA" w14:textId="77777777" w:rsidR="00662369" w:rsidRPr="00FE1AC9" w:rsidRDefault="00662369" w:rsidP="00662369">
      <w:pPr>
        <w:spacing w:before="52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Espironolactona, </w:t>
      </w:r>
      <w:proofErr w:type="spellStart"/>
      <w:r w:rsidRPr="00FE1AC9">
        <w:rPr>
          <w:color w:val="000000" w:themeColor="text1"/>
          <w:szCs w:val="24"/>
        </w:rPr>
        <w:t>eplerenona</w:t>
      </w:r>
      <w:proofErr w:type="spellEnd"/>
      <w:r w:rsidRPr="00FE1AC9">
        <w:rPr>
          <w:color w:val="000000" w:themeColor="text1"/>
          <w:szCs w:val="24"/>
        </w:rPr>
        <w:t xml:space="preserve"> </w:t>
      </w:r>
    </w:p>
    <w:p w14:paraId="3AB9DD7E" w14:textId="77777777" w:rsidR="00662369" w:rsidRPr="00FE1AC9" w:rsidRDefault="00662369" w:rsidP="00662369">
      <w:pPr>
        <w:spacing w:before="51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AINES, </w:t>
      </w:r>
      <w:proofErr w:type="spellStart"/>
      <w:r w:rsidRPr="00FE1AC9">
        <w:rPr>
          <w:color w:val="000000" w:themeColor="text1"/>
          <w:szCs w:val="24"/>
        </w:rPr>
        <w:t>betabloqueadores</w:t>
      </w:r>
      <w:proofErr w:type="spellEnd"/>
      <w:r w:rsidRPr="00FE1AC9">
        <w:rPr>
          <w:color w:val="000000" w:themeColor="text1"/>
          <w:szCs w:val="24"/>
        </w:rPr>
        <w:t xml:space="preserve">, </w:t>
      </w:r>
      <w:proofErr w:type="spellStart"/>
      <w:r w:rsidRPr="00FE1AC9">
        <w:rPr>
          <w:color w:val="000000" w:themeColor="text1"/>
          <w:szCs w:val="24"/>
        </w:rPr>
        <w:t>trimetoprim</w:t>
      </w:r>
      <w:proofErr w:type="spellEnd"/>
      <w:r w:rsidRPr="00FE1AC9">
        <w:rPr>
          <w:color w:val="000000" w:themeColor="text1"/>
          <w:szCs w:val="24"/>
        </w:rPr>
        <w:t xml:space="preserve"> </w:t>
      </w:r>
    </w:p>
    <w:p w14:paraId="077307B0" w14:textId="77777777" w:rsidR="00662369" w:rsidRPr="00FE1AC9" w:rsidRDefault="00662369" w:rsidP="00662369">
      <w:pPr>
        <w:spacing w:before="49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Suplementos de potasio </w:t>
      </w:r>
    </w:p>
    <w:p w14:paraId="62FAA767" w14:textId="77777777" w:rsidR="00662369" w:rsidRPr="00FE1AC9" w:rsidRDefault="00662369" w:rsidP="00662369">
      <w:pPr>
        <w:spacing w:before="251"/>
        <w:ind w:left="20"/>
        <w:rPr>
          <w:b/>
          <w:bCs/>
          <w:color w:val="000000" w:themeColor="text1"/>
          <w:szCs w:val="24"/>
        </w:rPr>
      </w:pPr>
      <w:r w:rsidRPr="00FE1AC9">
        <w:rPr>
          <w:b/>
          <w:bCs/>
          <w:color w:val="000000" w:themeColor="text1"/>
          <w:szCs w:val="24"/>
        </w:rPr>
        <w:t xml:space="preserve">E. Evaluaciones complementarias </w:t>
      </w:r>
    </w:p>
    <w:p w14:paraId="44F50AA9" w14:textId="77777777" w:rsidR="00662369" w:rsidRPr="00FE1AC9" w:rsidRDefault="00662369" w:rsidP="00662369">
      <w:pPr>
        <w:spacing w:before="62"/>
        <w:ind w:left="8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Solicitar de inmediato: </w:t>
      </w:r>
    </w:p>
    <w:p w14:paraId="07A6D2FC" w14:textId="77777777" w:rsidR="00662369" w:rsidRPr="00FE1AC9" w:rsidRDefault="00662369" w:rsidP="00662369">
      <w:pPr>
        <w:spacing w:before="51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Creatinina y BUN </w:t>
      </w:r>
    </w:p>
    <w:p w14:paraId="25F8BC01" w14:textId="77777777" w:rsidR="00662369" w:rsidRPr="00FE1AC9" w:rsidRDefault="00662369" w:rsidP="00662369">
      <w:pPr>
        <w:spacing w:before="51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Gasometría venosa/arterial </w:t>
      </w:r>
    </w:p>
    <w:p w14:paraId="52513D84" w14:textId="77777777" w:rsidR="00662369" w:rsidRPr="00FE1AC9" w:rsidRDefault="00662369" w:rsidP="00662369">
      <w:pPr>
        <w:spacing w:before="51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Glicemia </w:t>
      </w:r>
    </w:p>
    <w:p w14:paraId="11B1D1EA" w14:textId="77777777" w:rsidR="00662369" w:rsidRPr="00FE1AC9" w:rsidRDefault="00662369" w:rsidP="00662369">
      <w:pPr>
        <w:spacing w:before="49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- Sodio, cloro, calcio, magnesio </w:t>
      </w:r>
    </w:p>
    <w:p w14:paraId="6DCEB321" w14:textId="77777777" w:rsidR="00662369" w:rsidRPr="00FE1AC9" w:rsidRDefault="00662369" w:rsidP="00662369">
      <w:pPr>
        <w:spacing w:before="54"/>
        <w:ind w:left="10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>- HCO</w:t>
      </w:r>
      <w:r w:rsidRPr="00FE1AC9">
        <w:rPr>
          <w:rFonts w:ascii="Cambria Math" w:hAnsi="Cambria Math" w:cs="Cambria Math"/>
          <w:color w:val="000000" w:themeColor="text1"/>
          <w:szCs w:val="24"/>
        </w:rPr>
        <w:t>₃⁻</w:t>
      </w:r>
      <w:r w:rsidRPr="00FE1AC9">
        <w:rPr>
          <w:color w:val="000000" w:themeColor="text1"/>
          <w:szCs w:val="24"/>
        </w:rPr>
        <w:t xml:space="preserve"> s</w:t>
      </w:r>
      <w:r w:rsidRPr="00FE1AC9">
        <w:rPr>
          <w:rFonts w:cs="Arial"/>
          <w:color w:val="000000" w:themeColor="text1"/>
          <w:szCs w:val="24"/>
        </w:rPr>
        <w:t>é</w:t>
      </w:r>
      <w:r w:rsidRPr="00FE1AC9">
        <w:rPr>
          <w:color w:val="000000" w:themeColor="text1"/>
          <w:szCs w:val="24"/>
        </w:rPr>
        <w:t xml:space="preserve">rico </w:t>
      </w:r>
    </w:p>
    <w:p w14:paraId="2DBAF0E0" w14:textId="77777777" w:rsidR="00662369" w:rsidRPr="00FE1AC9" w:rsidRDefault="00662369" w:rsidP="00662369">
      <w:pPr>
        <w:rPr>
          <w:color w:val="000000" w:themeColor="text1"/>
          <w:szCs w:val="24"/>
        </w:rPr>
      </w:pPr>
    </w:p>
    <w:p w14:paraId="77B78CD3" w14:textId="77777777" w:rsidR="00662369" w:rsidRDefault="00662369" w:rsidP="00662369"/>
    <w:p w14:paraId="57A2777B" w14:textId="77777777" w:rsidR="00662369" w:rsidRDefault="00662369" w:rsidP="00662369"/>
    <w:p w14:paraId="0ECE9B34" w14:textId="77777777" w:rsidR="00662369" w:rsidRDefault="00662369" w:rsidP="00662369"/>
    <w:p w14:paraId="2724D47D" w14:textId="77777777" w:rsidR="00662369" w:rsidRDefault="00662369" w:rsidP="00662369"/>
    <w:p w14:paraId="4AF87489" w14:textId="77777777" w:rsidR="00662369" w:rsidRDefault="00662369" w:rsidP="00662369"/>
    <w:p w14:paraId="389B7D4B" w14:textId="77777777" w:rsidR="00662369" w:rsidRDefault="00662369" w:rsidP="00662369"/>
    <w:p w14:paraId="402271B3" w14:textId="77777777" w:rsidR="00662369" w:rsidRDefault="00662369" w:rsidP="00662369"/>
    <w:p w14:paraId="0470B680" w14:textId="77777777" w:rsidR="00662369" w:rsidRDefault="00662369" w:rsidP="00662369"/>
    <w:p w14:paraId="7315F123" w14:textId="77777777" w:rsidR="00662369" w:rsidRDefault="00662369" w:rsidP="00662369"/>
    <w:p w14:paraId="2BD0C51A" w14:textId="77777777" w:rsidR="00662369" w:rsidRDefault="00662369" w:rsidP="00662369"/>
    <w:p w14:paraId="032633D1" w14:textId="77777777" w:rsidR="00662369" w:rsidRDefault="00662369" w:rsidP="00662369">
      <w:pPr>
        <w:rPr>
          <w:szCs w:val="24"/>
        </w:rPr>
      </w:pPr>
      <w:r>
        <w:rPr>
          <w:szCs w:val="24"/>
        </w:rPr>
        <w:t xml:space="preserve">Considerar balance </w:t>
      </w:r>
      <w:proofErr w:type="spellStart"/>
      <w:r>
        <w:rPr>
          <w:szCs w:val="24"/>
        </w:rPr>
        <w:t>hidrico</w:t>
      </w:r>
      <w:proofErr w:type="spellEnd"/>
      <w:r>
        <w:rPr>
          <w:szCs w:val="24"/>
        </w:rPr>
        <w:t xml:space="preserve">, diuresis y osmolaridad urinaria, si está disponible. Adjunto en la siguiente tabla los trastornos </w:t>
      </w:r>
      <w:proofErr w:type="spellStart"/>
      <w:r>
        <w:rPr>
          <w:szCs w:val="24"/>
        </w:rPr>
        <w:t>electroliticos</w:t>
      </w:r>
      <w:proofErr w:type="spellEnd"/>
      <w:r>
        <w:rPr>
          <w:szCs w:val="24"/>
        </w:rPr>
        <w:t xml:space="preserve"> asociados:</w:t>
      </w:r>
    </w:p>
    <w:p w14:paraId="6B9E8355" w14:textId="77777777" w:rsidR="00662369" w:rsidRDefault="00662369" w:rsidP="00662369"/>
    <w:p w14:paraId="3B214CBE" w14:textId="77777777" w:rsidR="00662369" w:rsidRDefault="00662369" w:rsidP="00662369"/>
    <w:tbl>
      <w:tblPr>
        <w:tblW w:w="89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365"/>
        <w:gridCol w:w="3030"/>
        <w:gridCol w:w="2610"/>
      </w:tblGrid>
      <w:tr w:rsidR="00662369" w14:paraId="410045A5" w14:textId="77777777" w:rsidTr="00D43B75">
        <w:trPr>
          <w:trHeight w:val="1209"/>
        </w:trPr>
        <w:tc>
          <w:tcPr>
            <w:tcW w:w="19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9DEFB" w14:textId="77777777" w:rsidR="00662369" w:rsidRDefault="00662369" w:rsidP="00D43B75">
            <w:pPr>
              <w:ind w:left="60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Grado de  </w:t>
            </w:r>
          </w:p>
          <w:p w14:paraId="4F3C0160" w14:textId="77777777" w:rsidR="00662369" w:rsidRDefault="00662369" w:rsidP="00D43B75">
            <w:pPr>
              <w:spacing w:before="51" w:line="1093" w:lineRule="auto"/>
              <w:ind w:left="67" w:right="192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Hiperkalemia</w:t>
            </w:r>
            <w:proofErr w:type="spellEnd"/>
            <w:r>
              <w:rPr>
                <w:b/>
                <w:bCs/>
                <w:sz w:val="22"/>
              </w:rPr>
              <w:t xml:space="preserve"> Leve </w:t>
            </w:r>
          </w:p>
          <w:p w14:paraId="4C0D9093" w14:textId="77777777" w:rsidR="00662369" w:rsidRDefault="00662369" w:rsidP="00D43B75">
            <w:pPr>
              <w:spacing w:before="474"/>
              <w:ind w:left="67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Moderada </w:t>
            </w:r>
          </w:p>
          <w:p w14:paraId="3F7022EE" w14:textId="77777777" w:rsidR="00662369" w:rsidRDefault="00662369" w:rsidP="00D43B75">
            <w:pPr>
              <w:spacing w:before="1413"/>
              <w:ind w:left="57"/>
              <w:rPr>
                <w:b/>
                <w:bCs/>
              </w:rPr>
            </w:pPr>
          </w:p>
          <w:p w14:paraId="4BF8E1E5" w14:textId="77777777" w:rsidR="00662369" w:rsidRDefault="00662369" w:rsidP="00D43B75">
            <w:pPr>
              <w:spacing w:before="1413"/>
              <w:ind w:left="57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Severa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FB70" w14:textId="77777777" w:rsidR="00662369" w:rsidRDefault="00662369" w:rsidP="00D43B75">
            <w:pPr>
              <w:spacing w:line="280" w:lineRule="auto"/>
              <w:ind w:left="34" w:right="169" w:firstLine="9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</w:rPr>
              <w:t>Potasio  Sérico</w:t>
            </w:r>
            <w:proofErr w:type="gramEnd"/>
            <w:r>
              <w:rPr>
                <w:b/>
                <w:bCs/>
                <w:sz w:val="22"/>
              </w:rPr>
              <w:t xml:space="preserve">  </w:t>
            </w:r>
          </w:p>
          <w:p w14:paraId="4200CB15" w14:textId="77777777" w:rsidR="00662369" w:rsidRDefault="00662369" w:rsidP="00D43B75">
            <w:pPr>
              <w:spacing w:before="14"/>
              <w:ind w:left="35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(K</w:t>
            </w:r>
            <w:r>
              <w:rPr>
                <w:rFonts w:ascii="Cambria Math" w:eastAsia="Cambria Math" w:hAnsi="Cambria Math" w:cs="Cambria Math"/>
                <w:sz w:val="22"/>
              </w:rPr>
              <w:t>⁺</w:t>
            </w:r>
            <w:r>
              <w:rPr>
                <w:b/>
                <w:bCs/>
                <w:sz w:val="22"/>
              </w:rPr>
              <w:t>)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BC4D7" w14:textId="77777777" w:rsidR="00662369" w:rsidRDefault="00662369" w:rsidP="00D43B75">
            <w:pPr>
              <w:ind w:left="28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Trastornos Electrolíticos Asociados</w:t>
            </w:r>
          </w:p>
        </w:tc>
        <w:tc>
          <w:tcPr>
            <w:tcW w:w="2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2846" w14:textId="77777777" w:rsidR="00662369" w:rsidRDefault="00662369" w:rsidP="00D43B75">
            <w:pPr>
              <w:spacing w:line="280" w:lineRule="auto"/>
              <w:ind w:left="44" w:right="33" w:hanging="6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Comentarios </w:t>
            </w:r>
            <w:proofErr w:type="gramStart"/>
            <w:r>
              <w:rPr>
                <w:b/>
                <w:bCs/>
                <w:sz w:val="22"/>
              </w:rPr>
              <w:t>Clínicos  Relevantes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</w:p>
          <w:p w14:paraId="2E84D9CD" w14:textId="77777777" w:rsidR="00662369" w:rsidRDefault="00662369" w:rsidP="00D43B75">
            <w:pPr>
              <w:spacing w:before="449"/>
            </w:pPr>
            <w:r>
              <w:rPr>
                <w:sz w:val="22"/>
              </w:rPr>
              <w:t xml:space="preserve">                       Generalmente  </w:t>
            </w:r>
          </w:p>
          <w:p w14:paraId="39A4552E" w14:textId="77777777" w:rsidR="00662369" w:rsidRDefault="00662369" w:rsidP="00D43B75">
            <w:pPr>
              <w:spacing w:before="51"/>
              <w:ind w:left="44" w:right="251" w:hanging="5"/>
            </w:pPr>
            <w:r>
              <w:rPr>
                <w:sz w:val="22"/>
              </w:rPr>
              <w:t xml:space="preserve">asintomática; </w:t>
            </w:r>
            <w:proofErr w:type="gramStart"/>
            <w:r>
              <w:rPr>
                <w:sz w:val="22"/>
              </w:rPr>
              <w:t>puede  haber</w:t>
            </w:r>
            <w:proofErr w:type="gramEnd"/>
            <w:r>
              <w:rPr>
                <w:sz w:val="22"/>
              </w:rPr>
              <w:t xml:space="preserve"> debilidad  </w:t>
            </w:r>
          </w:p>
          <w:p w14:paraId="70649907" w14:textId="77777777" w:rsidR="00662369" w:rsidRDefault="00662369" w:rsidP="00D43B75">
            <w:pPr>
              <w:spacing w:before="16"/>
              <w:ind w:left="44"/>
            </w:pPr>
            <w:r>
              <w:rPr>
                <w:sz w:val="22"/>
              </w:rPr>
              <w:t xml:space="preserve">muscular leve. </w:t>
            </w:r>
          </w:p>
          <w:p w14:paraId="5E4FA125" w14:textId="77777777" w:rsidR="00662369" w:rsidRDefault="00662369" w:rsidP="00D43B75">
            <w:pPr>
              <w:spacing w:before="332" w:line="279" w:lineRule="auto"/>
              <w:ind w:left="40" w:right="255" w:hanging="13"/>
            </w:pPr>
          </w:p>
          <w:p w14:paraId="2FE5EF2B" w14:textId="77777777" w:rsidR="00662369" w:rsidRDefault="00662369" w:rsidP="00D43B75">
            <w:pPr>
              <w:spacing w:before="332" w:line="279" w:lineRule="auto"/>
              <w:ind w:left="40" w:right="255" w:hanging="13"/>
            </w:pPr>
            <w:r>
              <w:rPr>
                <w:sz w:val="22"/>
              </w:rPr>
              <w:t xml:space="preserve">Alteraciones en </w:t>
            </w:r>
            <w:proofErr w:type="gramStart"/>
            <w:r>
              <w:rPr>
                <w:sz w:val="22"/>
              </w:rPr>
              <w:t>ECG  (</w:t>
            </w:r>
            <w:proofErr w:type="gramEnd"/>
            <w:r>
              <w:rPr>
                <w:sz w:val="22"/>
              </w:rPr>
              <w:t xml:space="preserve">ondas T picudas),  mayor riesgo en  </w:t>
            </w:r>
          </w:p>
          <w:p w14:paraId="23151F96" w14:textId="77777777" w:rsidR="00662369" w:rsidRDefault="00662369" w:rsidP="00D43B75">
            <w:pPr>
              <w:spacing w:before="15"/>
              <w:ind w:left="44"/>
            </w:pPr>
            <w:r>
              <w:rPr>
                <w:sz w:val="22"/>
              </w:rPr>
              <w:t xml:space="preserve">pacientes renales. </w:t>
            </w:r>
          </w:p>
          <w:p w14:paraId="7C698499" w14:textId="77777777" w:rsidR="00662369" w:rsidRDefault="00662369" w:rsidP="00D43B75">
            <w:pPr>
              <w:spacing w:before="486"/>
              <w:ind w:left="45"/>
            </w:pPr>
          </w:p>
          <w:p w14:paraId="7710C9E1" w14:textId="77777777" w:rsidR="00662369" w:rsidRDefault="00662369" w:rsidP="00D43B75">
            <w:pPr>
              <w:spacing w:before="486"/>
              <w:ind w:left="45"/>
            </w:pPr>
            <w:r>
              <w:rPr>
                <w:sz w:val="22"/>
              </w:rPr>
              <w:t xml:space="preserve">Riesgo alto de  </w:t>
            </w:r>
          </w:p>
          <w:p w14:paraId="5A1DB6F2" w14:textId="77777777" w:rsidR="00662369" w:rsidRDefault="00662369" w:rsidP="00D43B75">
            <w:pPr>
              <w:spacing w:before="51" w:line="279" w:lineRule="auto"/>
              <w:ind w:left="38" w:right="133"/>
            </w:pPr>
            <w:r>
              <w:rPr>
                <w:sz w:val="22"/>
              </w:rPr>
              <w:t xml:space="preserve">arritmias letales. </w:t>
            </w:r>
            <w:proofErr w:type="gramStart"/>
            <w:r>
              <w:rPr>
                <w:sz w:val="22"/>
              </w:rPr>
              <w:t>ECG  con</w:t>
            </w:r>
            <w:proofErr w:type="gramEnd"/>
            <w:r>
              <w:rPr>
                <w:sz w:val="22"/>
              </w:rPr>
              <w:t xml:space="preserve"> bloqueo AV, QRS  ancho, asistolia.</w:t>
            </w:r>
          </w:p>
        </w:tc>
      </w:tr>
      <w:tr w:rsidR="00662369" w14:paraId="035DC27C" w14:textId="77777777" w:rsidTr="00D43B75">
        <w:trPr>
          <w:trHeight w:val="1516"/>
        </w:trPr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9BB7" w14:textId="77777777" w:rsidR="00662369" w:rsidRDefault="00662369" w:rsidP="00D43B75"/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8DFA" w14:textId="77777777" w:rsidR="00662369" w:rsidRDefault="00662369" w:rsidP="00D43B75">
            <w:pPr>
              <w:spacing w:line="278" w:lineRule="auto"/>
              <w:ind w:left="43" w:right="139" w:hanging="7"/>
            </w:pPr>
            <w:r>
              <w:rPr>
                <w:sz w:val="22"/>
              </w:rPr>
              <w:t xml:space="preserve">5.5 – </w:t>
            </w:r>
            <w:proofErr w:type="gramStart"/>
            <w:r>
              <w:rPr>
                <w:sz w:val="22"/>
              </w:rPr>
              <w:t>5.9  mEq</w:t>
            </w:r>
            <w:proofErr w:type="gramEnd"/>
            <w:r>
              <w:rPr>
                <w:sz w:val="22"/>
              </w:rPr>
              <w:t>/L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98922" w14:textId="77777777" w:rsidR="00662369" w:rsidRDefault="00662369" w:rsidP="00D43B75">
            <w:pPr>
              <w:spacing w:line="280" w:lineRule="auto"/>
              <w:ind w:left="43" w:right="869" w:hanging="6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- Hiponatremia leve- </w:t>
            </w:r>
            <w:proofErr w:type="gram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Acidosis  metabólica</w:t>
            </w:r>
            <w:proofErr w:type="gram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leve (↓ HCO</w:t>
            </w:r>
            <w:r>
              <w:rPr>
                <w:rFonts w:ascii="Cambria Math" w:eastAsia="Arial Unicode MS" w:hAnsi="Cambria Math" w:cs="Cambria Math"/>
                <w:sz w:val="20"/>
                <w:szCs w:val="20"/>
              </w:rPr>
              <w:t>₃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⁻</w:t>
            </w:r>
            <w:r>
              <w:rPr>
                <w:sz w:val="20"/>
                <w:szCs w:val="20"/>
              </w:rPr>
              <w:t xml:space="preserve">)- </w:t>
            </w:r>
          </w:p>
          <w:p w14:paraId="251ECAF9" w14:textId="77777777" w:rsidR="00662369" w:rsidRDefault="00662369" w:rsidP="00D43B75">
            <w:pPr>
              <w:spacing w:before="14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Hipocalcemia compensatoria (leve)</w:t>
            </w:r>
          </w:p>
        </w:tc>
        <w:tc>
          <w:tcPr>
            <w:tcW w:w="2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D8255" w14:textId="77777777" w:rsidR="00662369" w:rsidRDefault="00662369" w:rsidP="00D43B75"/>
        </w:tc>
      </w:tr>
      <w:tr w:rsidR="00662369" w14:paraId="3268BD1C" w14:textId="77777777" w:rsidTr="00D43B75">
        <w:trPr>
          <w:trHeight w:val="1517"/>
        </w:trPr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ACD17" w14:textId="77777777" w:rsidR="00662369" w:rsidRDefault="00662369" w:rsidP="00D43B75"/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AE1E" w14:textId="77777777" w:rsidR="00662369" w:rsidRDefault="00662369" w:rsidP="00D43B75">
            <w:pPr>
              <w:spacing w:line="280" w:lineRule="auto"/>
              <w:ind w:left="43" w:right="139" w:hanging="7"/>
            </w:pPr>
            <w:r>
              <w:rPr>
                <w:sz w:val="22"/>
              </w:rPr>
              <w:t xml:space="preserve">6.0 – </w:t>
            </w:r>
            <w:proofErr w:type="gramStart"/>
            <w:r>
              <w:rPr>
                <w:sz w:val="22"/>
              </w:rPr>
              <w:t>6.4  mEq</w:t>
            </w:r>
            <w:proofErr w:type="gramEnd"/>
            <w:r>
              <w:rPr>
                <w:sz w:val="22"/>
              </w:rPr>
              <w:t>/L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88AB" w14:textId="77777777" w:rsidR="00662369" w:rsidRDefault="00662369" w:rsidP="00D43B75">
            <w:pPr>
              <w:spacing w:line="280" w:lineRule="auto"/>
              <w:ind w:left="45" w:right="487" w:hanging="8"/>
            </w:pPr>
            <w:r>
              <w:rPr>
                <w:rFonts w:ascii="Arial Unicode MS" w:eastAsia="Arial Unicode MS" w:hAnsi="Arial Unicode MS" w:cs="Arial Unicode MS"/>
                <w:sz w:val="22"/>
              </w:rPr>
              <w:t>- Acidosis metabólica (mayor ↓ HCO</w:t>
            </w:r>
            <w:r>
              <w:rPr>
                <w:rFonts w:ascii="Cambria Math" w:eastAsia="Arial Unicode MS" w:hAnsi="Cambria Math" w:cs="Cambria Math"/>
                <w:sz w:val="22"/>
              </w:rPr>
              <w:t>₃</w:t>
            </w:r>
            <w:r>
              <w:rPr>
                <w:rFonts w:ascii="Cambria Math" w:eastAsia="Cambria Math" w:hAnsi="Cambria Math" w:cs="Cambria Math"/>
                <w:sz w:val="22"/>
              </w:rPr>
              <w:t>⁻</w:t>
            </w:r>
            <w:r>
              <w:rPr>
                <w:sz w:val="22"/>
              </w:rPr>
              <w:t>)</w:t>
            </w:r>
          </w:p>
          <w:p w14:paraId="6685E4CE" w14:textId="77777777" w:rsidR="00662369" w:rsidRDefault="00662369" w:rsidP="00D43B75">
            <w:pPr>
              <w:spacing w:line="280" w:lineRule="auto"/>
              <w:ind w:left="45" w:right="487" w:hanging="8"/>
            </w:pPr>
            <w:r>
              <w:rPr>
                <w:sz w:val="22"/>
              </w:rPr>
              <w:t>- Hiponatremia moderada Hipocalcemia (más evidente)</w:t>
            </w:r>
          </w:p>
          <w:p w14:paraId="39A7A720" w14:textId="77777777" w:rsidR="00662369" w:rsidRDefault="00662369" w:rsidP="00D43B75">
            <w:pPr>
              <w:spacing w:line="280" w:lineRule="auto"/>
              <w:ind w:left="45" w:right="487" w:hanging="8"/>
            </w:pPr>
            <w:r>
              <w:rPr>
                <w:sz w:val="22"/>
              </w:rPr>
              <w:t>- Hiperfosfatemia (por lisis celular)</w:t>
            </w:r>
          </w:p>
        </w:tc>
        <w:tc>
          <w:tcPr>
            <w:tcW w:w="2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4CDD" w14:textId="77777777" w:rsidR="00662369" w:rsidRDefault="00662369" w:rsidP="00D43B75"/>
        </w:tc>
      </w:tr>
      <w:tr w:rsidR="00662369" w14:paraId="3E0ADC41" w14:textId="77777777" w:rsidTr="00D43B75">
        <w:trPr>
          <w:trHeight w:val="1821"/>
        </w:trPr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BAB4" w14:textId="77777777" w:rsidR="00662369" w:rsidRDefault="00662369" w:rsidP="00D43B75"/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7BEE" w14:textId="77777777" w:rsidR="00662369" w:rsidRDefault="00662369" w:rsidP="00D43B75">
            <w:pPr>
              <w:ind w:left="34"/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≥ 6.5  </w:t>
            </w:r>
          </w:p>
          <w:p w14:paraId="04ED5313" w14:textId="77777777" w:rsidR="00662369" w:rsidRDefault="00662369" w:rsidP="00D43B75">
            <w:pPr>
              <w:spacing w:before="49"/>
              <w:ind w:left="43"/>
            </w:pPr>
            <w:r>
              <w:rPr>
                <w:sz w:val="22"/>
              </w:rPr>
              <w:t>mEq/L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ABD0" w14:textId="77777777" w:rsidR="00662369" w:rsidRDefault="00662369" w:rsidP="00D43B75">
            <w:pPr>
              <w:spacing w:line="278" w:lineRule="auto"/>
              <w:ind w:left="45" w:right="691" w:hanging="8"/>
            </w:pPr>
            <w:r>
              <w:rPr>
                <w:sz w:val="22"/>
              </w:rPr>
              <w:t xml:space="preserve">- Acidosis metabólica marcada Hipercalcemia significativa </w:t>
            </w:r>
          </w:p>
          <w:p w14:paraId="3F040EF9" w14:textId="77777777" w:rsidR="00662369" w:rsidRDefault="00662369" w:rsidP="00D43B75">
            <w:pPr>
              <w:spacing w:before="16" w:line="279" w:lineRule="auto"/>
              <w:ind w:left="38" w:right="393" w:firstLine="7"/>
            </w:pPr>
            <w:r>
              <w:rPr>
                <w:sz w:val="22"/>
              </w:rPr>
              <w:t>Hiponatremia</w:t>
            </w:r>
          </w:p>
          <w:p w14:paraId="19BF3A14" w14:textId="77777777" w:rsidR="00662369" w:rsidRDefault="00662369" w:rsidP="00D43B75">
            <w:pPr>
              <w:spacing w:before="16" w:line="279" w:lineRule="auto"/>
              <w:ind w:left="38" w:right="393" w:firstLine="7"/>
            </w:pPr>
            <w:r>
              <w:rPr>
                <w:sz w:val="22"/>
              </w:rPr>
              <w:t xml:space="preserve">- </w:t>
            </w:r>
            <w:proofErr w:type="spellStart"/>
            <w:proofErr w:type="gramStart"/>
            <w:r>
              <w:rPr>
                <w:sz w:val="22"/>
              </w:rPr>
              <w:t>Hipermagnesemia</w:t>
            </w:r>
            <w:proofErr w:type="spellEnd"/>
            <w:r>
              <w:rPr>
                <w:sz w:val="22"/>
              </w:rPr>
              <w:t xml:space="preserve">  ocasiona</w:t>
            </w:r>
            <w:proofErr w:type="gramEnd"/>
          </w:p>
          <w:p w14:paraId="5823E004" w14:textId="77777777" w:rsidR="00662369" w:rsidRDefault="00662369" w:rsidP="00D43B75">
            <w:pPr>
              <w:spacing w:before="16" w:line="279" w:lineRule="auto"/>
              <w:ind w:left="38" w:right="393" w:firstLine="7"/>
            </w:pPr>
            <w:r>
              <w:rPr>
                <w:sz w:val="22"/>
              </w:rPr>
              <w:t xml:space="preserve">l- Hiperfosfatemia </w:t>
            </w:r>
            <w:proofErr w:type="gramStart"/>
            <w:r>
              <w:rPr>
                <w:sz w:val="22"/>
              </w:rPr>
              <w:t>severa  (</w:t>
            </w:r>
            <w:proofErr w:type="spellStart"/>
            <w:proofErr w:type="gramEnd"/>
            <w:r>
              <w:rPr>
                <w:sz w:val="22"/>
              </w:rPr>
              <w:t>rabdomiolisis</w:t>
            </w:r>
            <w:proofErr w:type="spellEnd"/>
            <w:r>
              <w:rPr>
                <w:sz w:val="22"/>
              </w:rPr>
              <w:t>, hemólisis)</w:t>
            </w:r>
          </w:p>
        </w:tc>
        <w:tc>
          <w:tcPr>
            <w:tcW w:w="2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CF9E" w14:textId="77777777" w:rsidR="00662369" w:rsidRDefault="00662369" w:rsidP="00D43B75"/>
        </w:tc>
      </w:tr>
    </w:tbl>
    <w:p w14:paraId="41B08D31" w14:textId="77777777" w:rsidR="00662369" w:rsidRDefault="00662369" w:rsidP="00662369"/>
    <w:p w14:paraId="377F868C" w14:textId="77777777" w:rsidR="002D19BA" w:rsidRDefault="002D19BA" w:rsidP="002D19BA">
      <w:pPr>
        <w:spacing w:line="360" w:lineRule="auto"/>
        <w:rPr>
          <w:szCs w:val="24"/>
        </w:rPr>
      </w:pPr>
    </w:p>
    <w:p w14:paraId="043E69AB" w14:textId="77777777" w:rsidR="00526E8A" w:rsidRPr="00F515EF" w:rsidRDefault="00F515EF" w:rsidP="00526E8A">
      <w:pPr>
        <w:rPr>
          <w:rFonts w:cs="Arial"/>
          <w:szCs w:val="24"/>
        </w:rPr>
      </w:pPr>
      <w:r w:rsidRPr="00F515EF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95360" behindDoc="0" locked="0" layoutInCell="1" allowOverlap="1" wp14:anchorId="5AB8D965" wp14:editId="0078EF22">
                <wp:simplePos x="0" y="0"/>
                <wp:positionH relativeFrom="column">
                  <wp:posOffset>-296545</wp:posOffset>
                </wp:positionH>
                <wp:positionV relativeFrom="paragraph">
                  <wp:posOffset>135890</wp:posOffset>
                </wp:positionV>
                <wp:extent cx="7644130" cy="466725"/>
                <wp:effectExtent l="0" t="0" r="0" b="9525"/>
                <wp:wrapNone/>
                <wp:docPr id="17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6672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2B8C229" w14:textId="28B800D5" w:rsidR="00F515EF" w:rsidRPr="00FE1AC9" w:rsidRDefault="00850B80" w:rsidP="00FE1AC9">
                            <w:pPr>
                              <w:pStyle w:val="Ttulo1"/>
                              <w:ind w:left="0"/>
                              <w:rPr>
                                <w:sz w:val="28"/>
                                <w:szCs w:val="28"/>
                                <w:lang w:val="es-MX" w:eastAsia="ko-KR"/>
                              </w:rPr>
                            </w:pPr>
                            <w:bookmarkStart w:id="25" w:name="_Toc219283573"/>
                            <w:bookmarkStart w:id="26" w:name="_Toc219288210"/>
                            <w:bookmarkStart w:id="27" w:name="_Toc219289443"/>
                            <w:bookmarkStart w:id="28" w:name="_Toc219289957"/>
                            <w:bookmarkStart w:id="29" w:name="_Toc219290370"/>
                            <w:r>
                              <w:rPr>
                                <w:lang w:val="es-MX"/>
                              </w:rPr>
                              <w:t>6</w:t>
                            </w:r>
                            <w:r w:rsidR="00F515EF" w:rsidRPr="00526E8A">
                              <w:rPr>
                                <w:lang w:val="es-MX"/>
                              </w:rPr>
                              <w:t xml:space="preserve">. </w:t>
                            </w:r>
                            <w:bookmarkEnd w:id="25"/>
                            <w:bookmarkEnd w:id="26"/>
                            <w:r w:rsidR="00FE1AC9" w:rsidRPr="00FE1AC9">
                              <w:rPr>
                                <w:sz w:val="28"/>
                                <w:szCs w:val="28"/>
                              </w:rPr>
                              <w:t>ESTRATIFICACIÓN DEL RIESGO Y MANEJO SEGÚN SEVERIDAD</w:t>
                            </w:r>
                            <w:bookmarkEnd w:id="27"/>
                            <w:bookmarkEnd w:id="28"/>
                            <w:bookmarkEnd w:id="29"/>
                          </w:p>
                          <w:p w14:paraId="34FD828D" w14:textId="77777777" w:rsidR="00F515EF" w:rsidRPr="00FE1AC9" w:rsidRDefault="00F515EF" w:rsidP="00F515EF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8D965" id="_x0000_s1034" style="position:absolute;left:0;text-align:left;margin-left:-23.35pt;margin-top:10.7pt;width:601.9pt;height:36.75pt;z-index:4876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" fillcolor="#736363" stroked="f" strokeweight="2pt">
                <v:textbox>
                  <w:txbxContent>
                    <w:p w14:paraId="72B8C229" w14:textId="28B800D5" w:rsidR="00F515EF" w:rsidRPr="00FE1AC9" w:rsidRDefault="00850B80" w:rsidP="00FE1AC9">
                      <w:pPr>
                        <w:pStyle w:val="Ttulo1"/>
                        <w:ind w:left="0"/>
                        <w:rPr>
                          <w:sz w:val="28"/>
                          <w:szCs w:val="28"/>
                          <w:lang w:val="es-MX" w:eastAsia="ko-KR"/>
                        </w:rPr>
                      </w:pPr>
                      <w:bookmarkStart w:id="55" w:name="_Toc219283573"/>
                      <w:bookmarkStart w:id="56" w:name="_Toc219288210"/>
                      <w:bookmarkStart w:id="57" w:name="_Toc219289443"/>
                      <w:bookmarkStart w:id="58" w:name="_Toc219289957"/>
                      <w:bookmarkStart w:id="59" w:name="_Toc219290370"/>
                      <w:r>
                        <w:rPr>
                          <w:lang w:val="es-MX"/>
                        </w:rPr>
                        <w:t>6</w:t>
                      </w:r>
                      <w:r w:rsidR="00F515EF" w:rsidRPr="00526E8A">
                        <w:rPr>
                          <w:lang w:val="es-MX"/>
                        </w:rPr>
                        <w:t xml:space="preserve">. </w:t>
                      </w:r>
                      <w:bookmarkEnd w:id="55"/>
                      <w:bookmarkEnd w:id="56"/>
                      <w:r w:rsidR="00FE1AC9" w:rsidRPr="00FE1AC9">
                        <w:rPr>
                          <w:sz w:val="28"/>
                          <w:szCs w:val="28"/>
                        </w:rPr>
                        <w:t>ESTRATIFICACIÓN DEL RIESGO Y MANEJO SEGÚN SEVERIDAD</w:t>
                      </w:r>
                      <w:bookmarkEnd w:id="57"/>
                      <w:bookmarkEnd w:id="58"/>
                      <w:bookmarkEnd w:id="59"/>
                    </w:p>
                    <w:p w14:paraId="34FD828D" w14:textId="77777777" w:rsidR="00F515EF" w:rsidRPr="00FE1AC9" w:rsidRDefault="00F515EF" w:rsidP="00F515EF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686AF5" w14:textId="77777777" w:rsidR="00526E8A" w:rsidRDefault="00526E8A" w:rsidP="00526E8A"/>
    <w:p w14:paraId="65DC2ECA" w14:textId="77777777" w:rsidR="00F515EF" w:rsidRDefault="00F515EF" w:rsidP="00526E8A"/>
    <w:p w14:paraId="4AFBE9E7" w14:textId="0F1A40C4" w:rsidR="00F515EF" w:rsidRDefault="00F515EF" w:rsidP="00526E8A">
      <w:pPr>
        <w:rPr>
          <w:szCs w:val="24"/>
        </w:rPr>
      </w:pPr>
    </w:p>
    <w:p w14:paraId="1A7A77F8" w14:textId="1789E232" w:rsidR="00662369" w:rsidRDefault="00662369" w:rsidP="00526E8A"/>
    <w:p w14:paraId="3F185A83" w14:textId="77777777" w:rsidR="00662369" w:rsidRDefault="00662369" w:rsidP="00662369">
      <w:pPr>
        <w:spacing w:line="360" w:lineRule="auto"/>
        <w:ind w:left="9" w:right="246" w:hanging="1"/>
        <w:rPr>
          <w:szCs w:val="24"/>
        </w:rPr>
      </w:pPr>
      <w:r>
        <w:rPr>
          <w:szCs w:val="24"/>
        </w:rPr>
        <w:t xml:space="preserve">La estratificación del riesgo permite priorizar la intervención según el potencial </w:t>
      </w:r>
      <w:proofErr w:type="gramStart"/>
      <w:r>
        <w:rPr>
          <w:szCs w:val="24"/>
        </w:rPr>
        <w:t>de  complicaciones</w:t>
      </w:r>
      <w:proofErr w:type="gramEnd"/>
      <w:r>
        <w:rPr>
          <w:szCs w:val="24"/>
        </w:rPr>
        <w:t xml:space="preserve"> cardiovasculares y deterioro renal agudo. Se basa en el valor de </w:t>
      </w:r>
      <w:proofErr w:type="gramStart"/>
      <w:r>
        <w:rPr>
          <w:szCs w:val="24"/>
        </w:rPr>
        <w:t>potasio  sérico</w:t>
      </w:r>
      <w:proofErr w:type="gramEnd"/>
      <w:r>
        <w:rPr>
          <w:szCs w:val="24"/>
        </w:rPr>
        <w:t xml:space="preserve">, síntomas clínicos, alteraciones electrocardiográficas y función renal residual. </w:t>
      </w:r>
    </w:p>
    <w:p w14:paraId="0AEA0D0B" w14:textId="5003044F" w:rsidR="00662369" w:rsidRDefault="00662369" w:rsidP="00526E8A"/>
    <w:p w14:paraId="1EC93613" w14:textId="030E5D21" w:rsidR="00662369" w:rsidRDefault="00662369" w:rsidP="00526E8A">
      <w:r>
        <w:rPr>
          <w:noProof/>
        </w:rPr>
        <w:drawing>
          <wp:anchor distT="114300" distB="114300" distL="114300" distR="114300" simplePos="0" relativeHeight="487711744" behindDoc="0" locked="0" layoutInCell="1" hidden="0" allowOverlap="1" wp14:anchorId="59176F83" wp14:editId="731DDB17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5603875" cy="1515639"/>
            <wp:effectExtent l="0" t="0" r="0" b="0"/>
            <wp:wrapNone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15156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0EE9A4" w14:textId="2E2611BF" w:rsidR="00662369" w:rsidRDefault="00662369" w:rsidP="00526E8A"/>
    <w:p w14:paraId="058385B6" w14:textId="21AD48DF" w:rsidR="00662369" w:rsidRDefault="00662369" w:rsidP="00526E8A"/>
    <w:p w14:paraId="0FD15DDE" w14:textId="6E0AD2BB" w:rsidR="00662369" w:rsidRDefault="00662369" w:rsidP="00526E8A"/>
    <w:p w14:paraId="30433BE8" w14:textId="1E5E0362" w:rsidR="00662369" w:rsidRDefault="00662369" w:rsidP="00526E8A"/>
    <w:p w14:paraId="17B480C0" w14:textId="02BBF76E" w:rsidR="00662369" w:rsidRDefault="00662369" w:rsidP="00526E8A"/>
    <w:p w14:paraId="000FFADA" w14:textId="0017200B" w:rsidR="00662369" w:rsidRDefault="00662369" w:rsidP="00526E8A"/>
    <w:p w14:paraId="1234FBDE" w14:textId="15AF2D29" w:rsidR="00662369" w:rsidRDefault="00662369" w:rsidP="00526E8A"/>
    <w:p w14:paraId="7C64408F" w14:textId="2D0DA8F7" w:rsidR="00662369" w:rsidRDefault="00662369" w:rsidP="00526E8A"/>
    <w:p w14:paraId="0017D0E5" w14:textId="2CB58768" w:rsidR="00662369" w:rsidRDefault="00662369" w:rsidP="00526E8A"/>
    <w:p w14:paraId="4B186CAF" w14:textId="77777777" w:rsidR="00662369" w:rsidRDefault="00662369" w:rsidP="00526E8A"/>
    <w:p w14:paraId="5F060B9B" w14:textId="18F8E9D0" w:rsidR="00841C6D" w:rsidRPr="00841C6D" w:rsidRDefault="00A30333" w:rsidP="00841C6D">
      <w:pPr>
        <w:pStyle w:val="Textoindependiente"/>
        <w:rPr>
          <w:rFonts w:cs="Arial"/>
          <w:szCs w:val="24"/>
        </w:rPr>
      </w:pPr>
      <w:r w:rsidRPr="00F515EF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0480" behindDoc="0" locked="0" layoutInCell="1" allowOverlap="1" wp14:anchorId="1BC5DB43" wp14:editId="7284233D">
                <wp:simplePos x="0" y="0"/>
                <wp:positionH relativeFrom="column">
                  <wp:posOffset>-288925</wp:posOffset>
                </wp:positionH>
                <wp:positionV relativeFrom="paragraph">
                  <wp:posOffset>74295</wp:posOffset>
                </wp:positionV>
                <wp:extent cx="7644130" cy="466725"/>
                <wp:effectExtent l="0" t="0" r="0" b="9525"/>
                <wp:wrapNone/>
                <wp:docPr id="542634279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6672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1C27C2" w14:textId="1EAB51CC" w:rsidR="00662369" w:rsidRPr="00662369" w:rsidRDefault="00850B80" w:rsidP="00662369">
                            <w:pPr>
                              <w:ind w:left="1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bookmarkStart w:id="30" w:name="_Toc219283574"/>
                            <w:bookmarkStart w:id="31" w:name="_Toc219288211"/>
                            <w:r w:rsidRPr="00FE1AC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7</w:t>
                            </w:r>
                            <w:r w:rsidR="00FE1AC9" w:rsidRPr="00FE1AC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.</w:t>
                            </w:r>
                            <w:bookmarkEnd w:id="30"/>
                            <w:bookmarkEnd w:id="31"/>
                            <w:r w:rsidR="00FE1AC9" w:rsidRPr="00FE1AC9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 xml:space="preserve">  </w:t>
                            </w:r>
                            <w:r w:rsidR="00FE1AC9" w:rsidRPr="00FE1AC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MANEJO SEGÚN SEVERIDAD DE HIPERKALEMIA</w:t>
                            </w:r>
                            <w:r w:rsidR="00FE1AC9" w:rsidRPr="0066236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64BA2FA" w14:textId="6B2E2F71" w:rsidR="006238F3" w:rsidRPr="00662369" w:rsidRDefault="006238F3" w:rsidP="006238F3">
                            <w:pPr>
                              <w:pStyle w:val="Ttulo1"/>
                              <w:rPr>
                                <w:szCs w:val="40"/>
                                <w:lang w:val="es-MX" w:eastAsia="ko-KR"/>
                              </w:rPr>
                            </w:pPr>
                          </w:p>
                          <w:p w14:paraId="3EB813E2" w14:textId="77777777" w:rsidR="006238F3" w:rsidRPr="00D42F8B" w:rsidRDefault="006238F3" w:rsidP="006238F3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5DB43" id="_x0000_s1035" style="position:absolute;left:0;text-align:left;margin-left:-22.75pt;margin-top:5.85pt;width:601.9pt;height:36.75pt;z-index:4877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" fillcolor="#736363" stroked="f" strokeweight="2pt">
                <v:textbox>
                  <w:txbxContent>
                    <w:p w14:paraId="781C27C2" w14:textId="1EAB51CC" w:rsidR="00662369" w:rsidRPr="00662369" w:rsidRDefault="00850B80" w:rsidP="00662369">
                      <w:pPr>
                        <w:ind w:left="10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bookmarkStart w:id="62" w:name="_Toc219283574"/>
                      <w:bookmarkStart w:id="63" w:name="_Toc219288211"/>
                      <w:r w:rsidRPr="00FE1AC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7</w:t>
                      </w:r>
                      <w:r w:rsidR="00FE1AC9" w:rsidRPr="00FE1AC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.</w:t>
                      </w:r>
                      <w:bookmarkEnd w:id="62"/>
                      <w:bookmarkEnd w:id="63"/>
                      <w:r w:rsidR="00FE1AC9" w:rsidRPr="00FE1AC9">
                        <w:rPr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 xml:space="preserve">  </w:t>
                      </w:r>
                      <w:r w:rsidR="00FE1AC9" w:rsidRPr="00FE1AC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MANEJO SEGÚN SEVERIDAD DE HIPERKALEMIA</w:t>
                      </w:r>
                      <w:r w:rsidR="00FE1AC9" w:rsidRPr="0066236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64BA2FA" w14:textId="6B2E2F71" w:rsidR="006238F3" w:rsidRPr="00662369" w:rsidRDefault="006238F3" w:rsidP="006238F3">
                      <w:pPr>
                        <w:pStyle w:val="Ttulo1"/>
                        <w:rPr>
                          <w:szCs w:val="40"/>
                          <w:lang w:val="es-MX" w:eastAsia="ko-KR"/>
                        </w:rPr>
                      </w:pPr>
                    </w:p>
                    <w:p w14:paraId="3EB813E2" w14:textId="77777777" w:rsidR="006238F3" w:rsidRPr="00D42F8B" w:rsidRDefault="006238F3" w:rsidP="006238F3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F834F2" w14:textId="665429B4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1E13D027" w14:textId="144E35CC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79253065" w14:textId="08831B2F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22BE96CB" w14:textId="46929343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0342B3B6" w14:textId="77777777" w:rsidR="00883A00" w:rsidRPr="00FE1AC9" w:rsidRDefault="00BD7E74" w:rsidP="00883A00">
      <w:pPr>
        <w:spacing w:before="267"/>
        <w:rPr>
          <w:rFonts w:cs="Arial"/>
          <w:b/>
          <w:bCs/>
          <w:szCs w:val="24"/>
        </w:rPr>
      </w:pPr>
      <w:r>
        <w:rPr>
          <w:rFonts w:ascii="Times New Roman"/>
          <w:sz w:val="14"/>
        </w:rPr>
        <w:tab/>
      </w:r>
      <w:r w:rsidR="00883A00">
        <w:rPr>
          <w:rFonts w:ascii="Times New Roman"/>
          <w:sz w:val="14"/>
        </w:rPr>
        <w:br/>
      </w:r>
      <w:r w:rsidR="00883A00" w:rsidRPr="00FE1AC9">
        <w:rPr>
          <w:rFonts w:cs="Arial"/>
          <w:b/>
          <w:bCs/>
          <w:szCs w:val="24"/>
        </w:rPr>
        <w:t xml:space="preserve">A. </w:t>
      </w:r>
      <w:proofErr w:type="spellStart"/>
      <w:r w:rsidR="00883A00" w:rsidRPr="00FE1AC9">
        <w:rPr>
          <w:rFonts w:cs="Arial"/>
          <w:b/>
          <w:bCs/>
          <w:szCs w:val="24"/>
        </w:rPr>
        <w:t>Hiperkalemia</w:t>
      </w:r>
      <w:proofErr w:type="spellEnd"/>
      <w:r w:rsidR="00883A00" w:rsidRPr="00FE1AC9">
        <w:rPr>
          <w:rFonts w:cs="Arial"/>
          <w:b/>
          <w:bCs/>
          <w:szCs w:val="24"/>
        </w:rPr>
        <w:t xml:space="preserve"> Leve (5.5–5.9 mEq/L) </w:t>
      </w:r>
    </w:p>
    <w:p w14:paraId="30F50756" w14:textId="77777777" w:rsidR="00883A00" w:rsidRPr="00FE1AC9" w:rsidRDefault="00883A00" w:rsidP="00883A00">
      <w:pPr>
        <w:spacing w:before="62"/>
        <w:ind w:left="10"/>
        <w:rPr>
          <w:rFonts w:cs="Arial"/>
          <w:szCs w:val="24"/>
        </w:rPr>
      </w:pPr>
      <w:r w:rsidRPr="00FE1AC9">
        <w:rPr>
          <w:rFonts w:cs="Arial"/>
          <w:szCs w:val="24"/>
        </w:rPr>
        <w:t xml:space="preserve">- Monitorización estrecha (cada 48–72 h). </w:t>
      </w:r>
    </w:p>
    <w:p w14:paraId="43274D41" w14:textId="77777777" w:rsidR="00883A00" w:rsidRPr="00FE1AC9" w:rsidRDefault="00883A00" w:rsidP="00883A00">
      <w:pPr>
        <w:spacing w:before="51" w:line="279" w:lineRule="auto"/>
        <w:ind w:left="10" w:right="663"/>
        <w:rPr>
          <w:rFonts w:cs="Arial"/>
          <w:szCs w:val="24"/>
        </w:rPr>
      </w:pPr>
      <w:r w:rsidRPr="00FE1AC9">
        <w:rPr>
          <w:rFonts w:cs="Arial"/>
          <w:szCs w:val="24"/>
        </w:rPr>
        <w:t>- Modificación dietética: reducir potasio dietario a 2–3 g/día (</w:t>
      </w:r>
      <w:proofErr w:type="spellStart"/>
      <w:r w:rsidRPr="00FE1AC9">
        <w:rPr>
          <w:rFonts w:cs="Arial"/>
          <w:szCs w:val="24"/>
        </w:rPr>
        <w:t>St</w:t>
      </w:r>
      <w:proofErr w:type="spellEnd"/>
      <w:r w:rsidRPr="00FE1AC9">
        <w:rPr>
          <w:rFonts w:cs="Arial"/>
          <w:szCs w:val="24"/>
        </w:rPr>
        <w:t xml:space="preserve">-Jules et al., 2022). </w:t>
      </w:r>
    </w:p>
    <w:p w14:paraId="55CB8D61" w14:textId="77777777" w:rsidR="00883A00" w:rsidRPr="00FE1AC9" w:rsidRDefault="00883A00" w:rsidP="00883A00">
      <w:pPr>
        <w:spacing w:before="51" w:line="279" w:lineRule="auto"/>
        <w:ind w:left="10" w:right="663"/>
        <w:rPr>
          <w:rFonts w:cs="Arial"/>
          <w:szCs w:val="24"/>
        </w:rPr>
      </w:pPr>
      <w:r w:rsidRPr="00FE1AC9">
        <w:rPr>
          <w:rFonts w:cs="Arial"/>
          <w:szCs w:val="24"/>
        </w:rPr>
        <w:t xml:space="preserve">- Reevaluar medicamentos: reducir dosis o suspender temporalmente </w:t>
      </w:r>
      <w:proofErr w:type="spellStart"/>
      <w:r w:rsidRPr="00FE1AC9">
        <w:rPr>
          <w:rFonts w:cs="Arial"/>
          <w:szCs w:val="24"/>
        </w:rPr>
        <w:t>iSRAA</w:t>
      </w:r>
      <w:proofErr w:type="spellEnd"/>
      <w:r w:rsidRPr="00FE1AC9">
        <w:rPr>
          <w:rFonts w:cs="Arial"/>
          <w:szCs w:val="24"/>
        </w:rPr>
        <w:t xml:space="preserve"> si </w:t>
      </w:r>
      <w:proofErr w:type="gramStart"/>
      <w:r w:rsidRPr="00FE1AC9">
        <w:rPr>
          <w:rFonts w:cs="Arial"/>
          <w:szCs w:val="24"/>
        </w:rPr>
        <w:t>potasio  &gt;</w:t>
      </w:r>
      <w:proofErr w:type="gramEnd"/>
      <w:r w:rsidRPr="00FE1AC9">
        <w:rPr>
          <w:rFonts w:cs="Arial"/>
          <w:szCs w:val="24"/>
        </w:rPr>
        <w:t xml:space="preserve">5.8 mEq/L. </w:t>
      </w:r>
    </w:p>
    <w:p w14:paraId="7CFBA91D" w14:textId="77777777" w:rsidR="00883A00" w:rsidRPr="00FE1AC9" w:rsidRDefault="00883A00" w:rsidP="00883A00">
      <w:pPr>
        <w:spacing w:before="15" w:line="278" w:lineRule="auto"/>
        <w:ind w:left="11" w:right="422"/>
        <w:rPr>
          <w:rFonts w:cs="Arial"/>
          <w:szCs w:val="24"/>
        </w:rPr>
      </w:pPr>
      <w:r w:rsidRPr="00FE1AC9">
        <w:rPr>
          <w:rFonts w:cs="Arial"/>
          <w:szCs w:val="24"/>
        </w:rPr>
        <w:t xml:space="preserve">- Considerar quelantes orales como </w:t>
      </w:r>
      <w:proofErr w:type="spellStart"/>
      <w:r w:rsidRPr="00FE1AC9">
        <w:rPr>
          <w:rFonts w:cs="Arial"/>
          <w:szCs w:val="24"/>
        </w:rPr>
        <w:t>patiromer</w:t>
      </w:r>
      <w:proofErr w:type="spellEnd"/>
      <w:r w:rsidRPr="00FE1AC9">
        <w:rPr>
          <w:rFonts w:cs="Arial"/>
          <w:szCs w:val="24"/>
        </w:rPr>
        <w:t xml:space="preserve"> o poliestireno sulfonato sódico en </w:t>
      </w:r>
      <w:proofErr w:type="gramStart"/>
      <w:r w:rsidRPr="00FE1AC9">
        <w:rPr>
          <w:rFonts w:cs="Arial"/>
          <w:szCs w:val="24"/>
        </w:rPr>
        <w:t>pacientes  con</w:t>
      </w:r>
      <w:proofErr w:type="gramEnd"/>
      <w:r w:rsidRPr="00FE1AC9">
        <w:rPr>
          <w:rFonts w:cs="Arial"/>
          <w:szCs w:val="24"/>
        </w:rPr>
        <w:t xml:space="preserve"> ERC estadio 4–5. </w:t>
      </w:r>
    </w:p>
    <w:p w14:paraId="5D93A66F" w14:textId="77777777" w:rsidR="00883A00" w:rsidRPr="00FE1AC9" w:rsidRDefault="00883A00" w:rsidP="00883A00">
      <w:pPr>
        <w:spacing w:before="724"/>
        <w:ind w:left="20"/>
        <w:rPr>
          <w:rFonts w:cs="Arial"/>
          <w:b/>
          <w:bCs/>
          <w:szCs w:val="24"/>
        </w:rPr>
      </w:pPr>
      <w:r w:rsidRPr="00FE1AC9">
        <w:rPr>
          <w:rFonts w:cs="Arial"/>
          <w:b/>
          <w:bCs/>
          <w:szCs w:val="24"/>
        </w:rPr>
        <w:t xml:space="preserve">B. </w:t>
      </w:r>
      <w:proofErr w:type="spellStart"/>
      <w:r w:rsidRPr="00FE1AC9">
        <w:rPr>
          <w:rFonts w:cs="Arial"/>
          <w:b/>
          <w:bCs/>
          <w:szCs w:val="24"/>
        </w:rPr>
        <w:t>Hiperkalemia</w:t>
      </w:r>
      <w:proofErr w:type="spellEnd"/>
      <w:r w:rsidRPr="00FE1AC9">
        <w:rPr>
          <w:rFonts w:cs="Arial"/>
          <w:b/>
          <w:bCs/>
          <w:szCs w:val="24"/>
        </w:rPr>
        <w:t xml:space="preserve"> Moderada (6.0–6.4 mEq/L) </w:t>
      </w:r>
    </w:p>
    <w:p w14:paraId="0464D58E" w14:textId="77777777" w:rsidR="00883A00" w:rsidRPr="00FE1AC9" w:rsidRDefault="00883A00" w:rsidP="00883A00">
      <w:pPr>
        <w:spacing w:before="62" w:line="280" w:lineRule="auto"/>
        <w:ind w:left="10" w:right="1519"/>
        <w:rPr>
          <w:rFonts w:cs="Arial"/>
          <w:szCs w:val="24"/>
        </w:rPr>
      </w:pPr>
      <w:r w:rsidRPr="00FE1AC9">
        <w:rPr>
          <w:rFonts w:cs="Arial"/>
          <w:szCs w:val="24"/>
        </w:rPr>
        <w:t>- Ingreso hospitalario si síntomas o comorbilidades graves (</w:t>
      </w:r>
      <w:proofErr w:type="spellStart"/>
      <w:r w:rsidRPr="00FE1AC9">
        <w:rPr>
          <w:rFonts w:cs="Arial"/>
          <w:szCs w:val="24"/>
        </w:rPr>
        <w:t>Fravel</w:t>
      </w:r>
      <w:proofErr w:type="spellEnd"/>
      <w:r w:rsidRPr="00FE1AC9">
        <w:rPr>
          <w:rFonts w:cs="Arial"/>
          <w:szCs w:val="24"/>
        </w:rPr>
        <w:t xml:space="preserve"> et al., 2023). </w:t>
      </w:r>
    </w:p>
    <w:p w14:paraId="2B616B46" w14:textId="77777777" w:rsidR="00883A00" w:rsidRPr="00FE1AC9" w:rsidRDefault="00883A00" w:rsidP="00883A00">
      <w:pPr>
        <w:spacing w:before="62" w:line="280" w:lineRule="auto"/>
        <w:ind w:left="10" w:right="1519"/>
        <w:rPr>
          <w:rFonts w:cs="Arial"/>
          <w:szCs w:val="24"/>
        </w:rPr>
      </w:pPr>
      <w:r w:rsidRPr="00FE1AC9">
        <w:rPr>
          <w:rFonts w:cs="Arial"/>
          <w:szCs w:val="24"/>
        </w:rPr>
        <w:t xml:space="preserve">- EKG inmediato. </w:t>
      </w:r>
    </w:p>
    <w:p w14:paraId="535D293B" w14:textId="77777777" w:rsidR="00883A00" w:rsidRPr="00FE1AC9" w:rsidRDefault="00883A00" w:rsidP="00883A00">
      <w:pPr>
        <w:spacing w:before="14"/>
        <w:ind w:left="10"/>
        <w:rPr>
          <w:rFonts w:cs="Arial"/>
          <w:szCs w:val="24"/>
        </w:rPr>
      </w:pPr>
      <w:r w:rsidRPr="00FE1AC9">
        <w:rPr>
          <w:rFonts w:cs="Arial"/>
          <w:szCs w:val="24"/>
        </w:rPr>
        <w:t xml:space="preserve">- Resinas de intercambio iónico: </w:t>
      </w:r>
    </w:p>
    <w:p w14:paraId="38039D3E" w14:textId="77777777" w:rsidR="00883A00" w:rsidRPr="00FE1AC9" w:rsidRDefault="00883A00" w:rsidP="00883A00">
      <w:pPr>
        <w:spacing w:before="251" w:line="279" w:lineRule="auto"/>
        <w:ind w:right="572" w:firstLine="9"/>
        <w:rPr>
          <w:rFonts w:cs="Arial"/>
          <w:szCs w:val="24"/>
        </w:rPr>
      </w:pPr>
      <w:r w:rsidRPr="00FE1AC9">
        <w:rPr>
          <w:rFonts w:cs="Arial"/>
          <w:b/>
          <w:bCs/>
          <w:i/>
          <w:iCs/>
          <w:szCs w:val="24"/>
        </w:rPr>
        <w:t>*</w:t>
      </w:r>
      <w:proofErr w:type="spellStart"/>
      <w:r w:rsidRPr="00FE1AC9">
        <w:rPr>
          <w:rFonts w:cs="Arial"/>
          <w:b/>
          <w:bCs/>
          <w:i/>
          <w:iCs/>
          <w:szCs w:val="24"/>
        </w:rPr>
        <w:t>Ciclosilicato</w:t>
      </w:r>
      <w:proofErr w:type="spellEnd"/>
      <w:r w:rsidRPr="00FE1AC9">
        <w:rPr>
          <w:rFonts w:cs="Arial"/>
          <w:b/>
          <w:bCs/>
          <w:i/>
          <w:iCs/>
          <w:szCs w:val="24"/>
        </w:rPr>
        <w:t xml:space="preserve"> de sodio y </w:t>
      </w:r>
      <w:proofErr w:type="gramStart"/>
      <w:r w:rsidRPr="00FE1AC9">
        <w:rPr>
          <w:rFonts w:cs="Arial"/>
          <w:b/>
          <w:bCs/>
          <w:i/>
          <w:iCs/>
          <w:szCs w:val="24"/>
        </w:rPr>
        <w:t>Zirconio :</w:t>
      </w:r>
      <w:proofErr w:type="gramEnd"/>
      <w:r w:rsidRPr="00FE1AC9">
        <w:rPr>
          <w:rFonts w:cs="Arial"/>
          <w:b/>
          <w:bCs/>
          <w:i/>
          <w:iCs/>
          <w:szCs w:val="24"/>
        </w:rPr>
        <w:t xml:space="preserve"> quelante de potasio selectivo Dosis inicial: 10 g tres  veces al día durante 24 - 48 horas. Dosis de mantenimiento: 5 a 15 g una vez al día, </w:t>
      </w:r>
      <w:proofErr w:type="gramStart"/>
      <w:r w:rsidRPr="00FE1AC9">
        <w:rPr>
          <w:rFonts w:cs="Arial"/>
          <w:b/>
          <w:bCs/>
          <w:i/>
          <w:iCs/>
          <w:szCs w:val="24"/>
        </w:rPr>
        <w:t>ajustada  según</w:t>
      </w:r>
      <w:proofErr w:type="gramEnd"/>
      <w:r w:rsidRPr="00FE1AC9">
        <w:rPr>
          <w:rFonts w:cs="Arial"/>
          <w:b/>
          <w:bCs/>
          <w:i/>
          <w:iCs/>
          <w:szCs w:val="24"/>
        </w:rPr>
        <w:t xml:space="preserve"> niveles de potasio. (</w:t>
      </w:r>
      <w:proofErr w:type="spellStart"/>
      <w:r w:rsidRPr="00FE1AC9">
        <w:rPr>
          <w:rFonts w:cs="Arial"/>
          <w:b/>
          <w:bCs/>
          <w:i/>
          <w:iCs/>
          <w:szCs w:val="24"/>
        </w:rPr>
        <w:t>Borrelli</w:t>
      </w:r>
      <w:proofErr w:type="spellEnd"/>
      <w:r w:rsidRPr="00FE1AC9">
        <w:rPr>
          <w:rFonts w:cs="Arial"/>
          <w:b/>
          <w:bCs/>
          <w:i/>
          <w:iCs/>
          <w:szCs w:val="24"/>
        </w:rPr>
        <w:t xml:space="preserve"> et al., 2022).</w:t>
      </w:r>
      <w:r w:rsidRPr="00FE1AC9">
        <w:rPr>
          <w:rFonts w:cs="Arial"/>
          <w:szCs w:val="24"/>
        </w:rPr>
        <w:t xml:space="preserve"> </w:t>
      </w:r>
    </w:p>
    <w:p w14:paraId="7DB42112" w14:textId="77777777" w:rsidR="00883A00" w:rsidRPr="00FE1AC9" w:rsidRDefault="00883A00" w:rsidP="00883A00">
      <w:pPr>
        <w:spacing w:before="16" w:line="280" w:lineRule="auto"/>
        <w:ind w:left="10" w:right="493"/>
        <w:rPr>
          <w:rFonts w:cs="Arial"/>
          <w:szCs w:val="24"/>
        </w:rPr>
      </w:pPr>
      <w:r w:rsidRPr="00FE1AC9">
        <w:rPr>
          <w:rFonts w:cs="Arial"/>
          <w:szCs w:val="24"/>
        </w:rPr>
        <w:t xml:space="preserve"> * </w:t>
      </w:r>
      <w:proofErr w:type="spellStart"/>
      <w:r w:rsidRPr="00FE1AC9">
        <w:rPr>
          <w:rFonts w:cs="Arial"/>
          <w:szCs w:val="24"/>
        </w:rPr>
        <w:t>Patiromer</w:t>
      </w:r>
      <w:proofErr w:type="spellEnd"/>
      <w:r w:rsidRPr="00FE1AC9">
        <w:rPr>
          <w:rFonts w:cs="Arial"/>
          <w:szCs w:val="24"/>
        </w:rPr>
        <w:t>: quelante no absorbible que intercambia calcio por potasio en colón. Dosis:  8.4 g/día, ajustar según respuesta. (</w:t>
      </w:r>
      <w:proofErr w:type="spellStart"/>
      <w:r w:rsidRPr="00FE1AC9">
        <w:rPr>
          <w:rFonts w:cs="Arial"/>
          <w:szCs w:val="24"/>
        </w:rPr>
        <w:t>Borrelli</w:t>
      </w:r>
      <w:proofErr w:type="spellEnd"/>
      <w:r w:rsidRPr="00FE1AC9">
        <w:rPr>
          <w:rFonts w:cs="Arial"/>
          <w:szCs w:val="24"/>
        </w:rPr>
        <w:t xml:space="preserve"> et al., 2022). </w:t>
      </w:r>
    </w:p>
    <w:p w14:paraId="0265AFAC" w14:textId="77777777" w:rsidR="00883A00" w:rsidRPr="00FE1AC9" w:rsidRDefault="00883A00" w:rsidP="00883A00">
      <w:pPr>
        <w:spacing w:before="12" w:line="280" w:lineRule="auto"/>
        <w:ind w:left="17" w:right="870"/>
        <w:rPr>
          <w:rFonts w:cs="Arial"/>
          <w:szCs w:val="24"/>
        </w:rPr>
      </w:pPr>
      <w:r w:rsidRPr="00FE1AC9">
        <w:rPr>
          <w:rFonts w:cs="Arial"/>
          <w:szCs w:val="24"/>
        </w:rPr>
        <w:t xml:space="preserve"> * Poliestireno Sulfonato sódico: intercambio con sodio, menos preferido por riesgo </w:t>
      </w:r>
      <w:proofErr w:type="gramStart"/>
      <w:r w:rsidRPr="00FE1AC9">
        <w:rPr>
          <w:rFonts w:cs="Arial"/>
          <w:szCs w:val="24"/>
        </w:rPr>
        <w:t>de  necrosis</w:t>
      </w:r>
      <w:proofErr w:type="gramEnd"/>
      <w:r w:rsidRPr="00FE1AC9">
        <w:rPr>
          <w:rFonts w:cs="Arial"/>
          <w:szCs w:val="24"/>
        </w:rPr>
        <w:t xml:space="preserve"> colónica. Dosis: 15 g 1–4 veces al día. </w:t>
      </w:r>
    </w:p>
    <w:p w14:paraId="1210FDFA" w14:textId="77777777" w:rsidR="00883A00" w:rsidRPr="00FE1AC9" w:rsidRDefault="00883A00" w:rsidP="00883A00">
      <w:pPr>
        <w:spacing w:before="14" w:line="278" w:lineRule="auto"/>
        <w:ind w:left="17" w:right="505" w:hanging="6"/>
        <w:rPr>
          <w:rFonts w:cs="Arial"/>
          <w:szCs w:val="24"/>
        </w:rPr>
      </w:pPr>
      <w:r w:rsidRPr="00FE1AC9">
        <w:rPr>
          <w:rFonts w:cs="Arial"/>
          <w:szCs w:val="24"/>
        </w:rPr>
        <w:t>- Bicarbonato de sodio oral (1.5 -- 3 g/día) en presencia de acidosis metabólica (HCO3 &lt;</w:t>
      </w:r>
      <w:proofErr w:type="gramStart"/>
      <w:r w:rsidRPr="00FE1AC9">
        <w:rPr>
          <w:rFonts w:cs="Arial"/>
          <w:szCs w:val="24"/>
        </w:rPr>
        <w:t>22  mmol</w:t>
      </w:r>
      <w:proofErr w:type="gramEnd"/>
      <w:r w:rsidRPr="00FE1AC9">
        <w:rPr>
          <w:rFonts w:cs="Arial"/>
          <w:szCs w:val="24"/>
        </w:rPr>
        <w:t xml:space="preserve">/L). </w:t>
      </w:r>
    </w:p>
    <w:p w14:paraId="30EC24E8" w14:textId="77777777" w:rsidR="00883A00" w:rsidRPr="00FE1AC9" w:rsidRDefault="00883A00" w:rsidP="00883A00">
      <w:pPr>
        <w:spacing w:before="724"/>
        <w:rPr>
          <w:rFonts w:cs="Arial"/>
          <w:b/>
          <w:bCs/>
          <w:szCs w:val="24"/>
        </w:rPr>
      </w:pPr>
      <w:r w:rsidRPr="00FE1AC9">
        <w:rPr>
          <w:rFonts w:eastAsia="Arial Unicode MS" w:cs="Arial"/>
          <w:b/>
          <w:bCs/>
          <w:szCs w:val="24"/>
        </w:rPr>
        <w:lastRenderedPageBreak/>
        <w:t xml:space="preserve">C. </w:t>
      </w:r>
      <w:proofErr w:type="spellStart"/>
      <w:r w:rsidRPr="00FE1AC9">
        <w:rPr>
          <w:rFonts w:eastAsia="Arial Unicode MS" w:cs="Arial"/>
          <w:b/>
          <w:bCs/>
          <w:szCs w:val="24"/>
        </w:rPr>
        <w:t>Hiperkalemia</w:t>
      </w:r>
      <w:proofErr w:type="spellEnd"/>
      <w:r w:rsidRPr="00FE1AC9">
        <w:rPr>
          <w:rFonts w:eastAsia="Arial Unicode MS" w:cs="Arial"/>
          <w:b/>
          <w:bCs/>
          <w:szCs w:val="24"/>
        </w:rPr>
        <w:t xml:space="preserve"> Grave (≥6.5 mEq/L o EKG alterado) </w:t>
      </w:r>
    </w:p>
    <w:p w14:paraId="6E50B4E4" w14:textId="77777777" w:rsidR="00883A00" w:rsidRDefault="00883A00" w:rsidP="00883A00">
      <w:pPr>
        <w:spacing w:before="62"/>
        <w:ind w:left="10"/>
        <w:rPr>
          <w:szCs w:val="24"/>
        </w:rPr>
      </w:pPr>
      <w:r>
        <w:rPr>
          <w:szCs w:val="24"/>
        </w:rPr>
        <w:t xml:space="preserve">- Tratamiento urgente (Palmer &amp; Clegg, 2024; KDIGO 2024): </w:t>
      </w:r>
    </w:p>
    <w:p w14:paraId="29387C26" w14:textId="77777777" w:rsidR="00883A00" w:rsidRDefault="00883A00" w:rsidP="00883A00">
      <w:pPr>
        <w:spacing w:line="360" w:lineRule="auto"/>
        <w:rPr>
          <w:szCs w:val="24"/>
        </w:rPr>
      </w:pPr>
    </w:p>
    <w:p w14:paraId="76FF983D" w14:textId="77777777" w:rsidR="00883A00" w:rsidRDefault="00883A00" w:rsidP="00883A00">
      <w:pPr>
        <w:spacing w:line="360" w:lineRule="auto"/>
        <w:rPr>
          <w:szCs w:val="24"/>
        </w:rPr>
      </w:pPr>
      <w:r>
        <w:rPr>
          <w:szCs w:val="24"/>
        </w:rPr>
        <w:t xml:space="preserve">1. **Estabilización </w:t>
      </w:r>
      <w:proofErr w:type="gramStart"/>
      <w:r>
        <w:rPr>
          <w:szCs w:val="24"/>
        </w:rPr>
        <w:t>miocárdica:*</w:t>
      </w:r>
      <w:proofErr w:type="gramEnd"/>
      <w:r>
        <w:rPr>
          <w:szCs w:val="24"/>
        </w:rPr>
        <w:t xml:space="preserve">* </w:t>
      </w:r>
    </w:p>
    <w:p w14:paraId="46806594" w14:textId="77777777" w:rsidR="00883A00" w:rsidRDefault="00883A00" w:rsidP="00883A00">
      <w:pPr>
        <w:spacing w:line="360" w:lineRule="auto"/>
        <w:rPr>
          <w:szCs w:val="24"/>
        </w:rPr>
      </w:pPr>
      <w:r>
        <w:rPr>
          <w:szCs w:val="24"/>
        </w:rPr>
        <w:t xml:space="preserve"> - Gluconato de calcio 10%, 10 </w:t>
      </w:r>
      <w:proofErr w:type="spellStart"/>
      <w:r>
        <w:rPr>
          <w:szCs w:val="24"/>
        </w:rPr>
        <w:t>mL</w:t>
      </w:r>
      <w:proofErr w:type="spellEnd"/>
      <w:r>
        <w:rPr>
          <w:szCs w:val="24"/>
        </w:rPr>
        <w:t xml:space="preserve"> IV en 2–3 minutos. Repetir si persisten cambios en EKG. </w:t>
      </w:r>
    </w:p>
    <w:p w14:paraId="46C5BDB3" w14:textId="77777777" w:rsidR="00883A00" w:rsidRDefault="00883A00" w:rsidP="00883A00">
      <w:pPr>
        <w:spacing w:line="360" w:lineRule="auto"/>
        <w:rPr>
          <w:szCs w:val="24"/>
        </w:rPr>
      </w:pPr>
      <w:r>
        <w:rPr>
          <w:szCs w:val="24"/>
        </w:rPr>
        <w:t>2. **Translocación intracelular del K</w:t>
      </w:r>
      <w:proofErr w:type="gramStart"/>
      <w:r>
        <w:rPr>
          <w:szCs w:val="24"/>
        </w:rPr>
        <w:t>+:*</w:t>
      </w:r>
      <w:proofErr w:type="gramEnd"/>
      <w:r>
        <w:rPr>
          <w:szCs w:val="24"/>
        </w:rPr>
        <w:t xml:space="preserve">* </w:t>
      </w:r>
    </w:p>
    <w:p w14:paraId="2B0B5B30" w14:textId="77777777" w:rsidR="00883A00" w:rsidRDefault="00883A00" w:rsidP="00883A00">
      <w:pPr>
        <w:spacing w:line="360" w:lineRule="auto"/>
        <w:rPr>
          <w:szCs w:val="24"/>
        </w:rPr>
      </w:pPr>
      <w:r>
        <w:rPr>
          <w:szCs w:val="24"/>
        </w:rPr>
        <w:t xml:space="preserve"> - Insulina rápida 10 U IV + glucosa al 50% (25–50 </w:t>
      </w:r>
      <w:proofErr w:type="spellStart"/>
      <w:r>
        <w:rPr>
          <w:szCs w:val="24"/>
        </w:rPr>
        <w:t>mL</w:t>
      </w:r>
      <w:proofErr w:type="spellEnd"/>
      <w:r>
        <w:rPr>
          <w:szCs w:val="24"/>
        </w:rPr>
        <w:t xml:space="preserve">). Efecto en 15–30 min.  </w:t>
      </w:r>
    </w:p>
    <w:p w14:paraId="6DB60E23" w14:textId="77777777" w:rsidR="00883A00" w:rsidRDefault="00883A00" w:rsidP="00883A00">
      <w:pPr>
        <w:spacing w:line="360" w:lineRule="auto"/>
        <w:rPr>
          <w:szCs w:val="24"/>
        </w:rPr>
      </w:pPr>
      <w:r>
        <w:rPr>
          <w:szCs w:val="24"/>
        </w:rPr>
        <w:t xml:space="preserve">- Salbutamol nebulizado (10–20 mg) o IV (250–500 </w:t>
      </w:r>
      <w:proofErr w:type="spellStart"/>
      <w:r>
        <w:rPr>
          <w:szCs w:val="24"/>
        </w:rPr>
        <w:t>mcg</w:t>
      </w:r>
      <w:proofErr w:type="spellEnd"/>
      <w:r>
        <w:rPr>
          <w:szCs w:val="24"/>
        </w:rPr>
        <w:t xml:space="preserve">). Cuidado en cardiopatía isquémica. </w:t>
      </w:r>
    </w:p>
    <w:p w14:paraId="7C493C6A" w14:textId="77777777" w:rsidR="00883A00" w:rsidRDefault="00883A00" w:rsidP="00883A00">
      <w:pPr>
        <w:spacing w:line="360" w:lineRule="auto"/>
        <w:rPr>
          <w:szCs w:val="24"/>
        </w:rPr>
      </w:pPr>
      <w:r>
        <w:rPr>
          <w:szCs w:val="24"/>
        </w:rPr>
        <w:t xml:space="preserve"> - Bicarbonato sódico IV (50–100 mEq en 30–60 min) si hay acidosis metabólica. </w:t>
      </w:r>
    </w:p>
    <w:p w14:paraId="209F9756" w14:textId="77777777" w:rsidR="00883A00" w:rsidRDefault="00883A00" w:rsidP="00883A00">
      <w:pPr>
        <w:spacing w:line="360" w:lineRule="auto"/>
        <w:rPr>
          <w:szCs w:val="24"/>
        </w:rPr>
      </w:pPr>
      <w:r>
        <w:rPr>
          <w:szCs w:val="24"/>
        </w:rPr>
        <w:t xml:space="preserve">3. **Eliminación del </w:t>
      </w:r>
      <w:proofErr w:type="gramStart"/>
      <w:r>
        <w:rPr>
          <w:szCs w:val="24"/>
        </w:rPr>
        <w:t>potasio:*</w:t>
      </w:r>
      <w:proofErr w:type="gramEnd"/>
      <w:r>
        <w:rPr>
          <w:szCs w:val="24"/>
        </w:rPr>
        <w:t xml:space="preserve">* </w:t>
      </w:r>
    </w:p>
    <w:p w14:paraId="257D7637" w14:textId="77777777" w:rsidR="00883A00" w:rsidRDefault="00883A00" w:rsidP="00883A00">
      <w:pPr>
        <w:spacing w:line="360" w:lineRule="auto"/>
        <w:rPr>
          <w:szCs w:val="24"/>
        </w:rPr>
      </w:pPr>
      <w:r>
        <w:rPr>
          <w:szCs w:val="24"/>
        </w:rPr>
        <w:t xml:space="preserve"> - Diuréticos de asa (furosemida 20–40 mg IV) si hay diuresis conservada.  </w:t>
      </w:r>
    </w:p>
    <w:p w14:paraId="592CE9C1" w14:textId="77777777" w:rsidR="00883A00" w:rsidRDefault="00883A00" w:rsidP="00883A00">
      <w:pPr>
        <w:spacing w:line="360" w:lineRule="auto"/>
        <w:rPr>
          <w:szCs w:val="24"/>
        </w:rPr>
      </w:pPr>
      <w:r>
        <w:rPr>
          <w:szCs w:val="24"/>
        </w:rPr>
        <w:t>- Resinas de intercambio (</w:t>
      </w:r>
      <w:proofErr w:type="spellStart"/>
      <w:r>
        <w:rPr>
          <w:szCs w:val="24"/>
        </w:rPr>
        <w:t>ciclosilicato</w:t>
      </w:r>
      <w:proofErr w:type="spellEnd"/>
      <w:r>
        <w:rPr>
          <w:szCs w:val="24"/>
        </w:rPr>
        <w:t xml:space="preserve"> de sodio y zirconio- </w:t>
      </w:r>
      <w:proofErr w:type="spellStart"/>
      <w:proofErr w:type="gramStart"/>
      <w:r>
        <w:rPr>
          <w:szCs w:val="24"/>
        </w:rPr>
        <w:t>Lokelma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 </w:t>
      </w:r>
    </w:p>
    <w:p w14:paraId="2B107FC9" w14:textId="77777777" w:rsidR="00883A00" w:rsidRDefault="00883A00" w:rsidP="00883A00">
      <w:pPr>
        <w:spacing w:line="360" w:lineRule="auto"/>
        <w:rPr>
          <w:szCs w:val="24"/>
        </w:rPr>
      </w:pPr>
      <w:r>
        <w:rPr>
          <w:szCs w:val="24"/>
        </w:rPr>
        <w:t xml:space="preserve">- Hemodiálisis: opción definitiva en ERC terminal, anuria o falla de tratamiento médico. </w:t>
      </w:r>
    </w:p>
    <w:p w14:paraId="3303005C" w14:textId="77777777" w:rsidR="00883A00" w:rsidRDefault="00883A00" w:rsidP="00883A00">
      <w:pPr>
        <w:spacing w:before="325"/>
        <w:ind w:left="9"/>
        <w:rPr>
          <w:szCs w:val="24"/>
        </w:rPr>
      </w:pPr>
      <w:r>
        <w:rPr>
          <w:szCs w:val="24"/>
        </w:rPr>
        <w:t>**</w:t>
      </w:r>
      <w:proofErr w:type="gramStart"/>
      <w:r>
        <w:rPr>
          <w:szCs w:val="24"/>
        </w:rPr>
        <w:t>Nota:*</w:t>
      </w:r>
      <w:proofErr w:type="gramEnd"/>
      <w:r>
        <w:rPr>
          <w:szCs w:val="24"/>
        </w:rPr>
        <w:t xml:space="preserve">* No usar gluconato de calcio IM no administrar bicarbonato si pH &gt;7.45. </w:t>
      </w:r>
    </w:p>
    <w:p w14:paraId="1531A80F" w14:textId="77777777" w:rsidR="00883A00" w:rsidRPr="00FE1AC9" w:rsidRDefault="00883A00" w:rsidP="00883A00">
      <w:pPr>
        <w:spacing w:before="530" w:line="360" w:lineRule="auto"/>
        <w:ind w:left="13"/>
        <w:rPr>
          <w:b/>
          <w:bCs/>
          <w:color w:val="000000" w:themeColor="text1"/>
          <w:szCs w:val="24"/>
        </w:rPr>
      </w:pPr>
      <w:proofErr w:type="spellStart"/>
      <w:r w:rsidRPr="00FE1AC9">
        <w:rPr>
          <w:b/>
          <w:bCs/>
          <w:color w:val="000000" w:themeColor="text1"/>
          <w:szCs w:val="24"/>
        </w:rPr>
        <w:t>Ciclosilicato</w:t>
      </w:r>
      <w:proofErr w:type="spellEnd"/>
      <w:r w:rsidRPr="00FE1AC9">
        <w:rPr>
          <w:b/>
          <w:bCs/>
          <w:color w:val="000000" w:themeColor="text1"/>
          <w:szCs w:val="24"/>
        </w:rPr>
        <w:t xml:space="preserve"> de Sodio y Zirconio (SZC) </w:t>
      </w:r>
    </w:p>
    <w:p w14:paraId="2D090ABC" w14:textId="77777777" w:rsidR="00883A00" w:rsidRPr="00FE1AC9" w:rsidRDefault="00883A00" w:rsidP="00883A00">
      <w:pPr>
        <w:spacing w:before="65" w:line="360" w:lineRule="auto"/>
        <w:ind w:left="11" w:right="312" w:firstLine="7"/>
        <w:rPr>
          <w:color w:val="000000" w:themeColor="text1"/>
          <w:szCs w:val="24"/>
        </w:rPr>
      </w:pPr>
      <w:r w:rsidRPr="00FE1AC9">
        <w:rPr>
          <w:color w:val="000000" w:themeColor="text1"/>
          <w:szCs w:val="24"/>
        </w:rPr>
        <w:t xml:space="preserve">El </w:t>
      </w:r>
      <w:proofErr w:type="spellStart"/>
      <w:r w:rsidRPr="00FE1AC9">
        <w:rPr>
          <w:color w:val="000000" w:themeColor="text1"/>
          <w:szCs w:val="24"/>
        </w:rPr>
        <w:t>ciclosilicato</w:t>
      </w:r>
      <w:proofErr w:type="spellEnd"/>
      <w:r w:rsidRPr="00FE1AC9">
        <w:rPr>
          <w:color w:val="000000" w:themeColor="text1"/>
          <w:szCs w:val="24"/>
        </w:rPr>
        <w:t xml:space="preserve"> de sodio y zirconio (SZC) es un quelante de potasio selectivo aprobado </w:t>
      </w:r>
      <w:proofErr w:type="gramStart"/>
      <w:r w:rsidRPr="00FE1AC9">
        <w:rPr>
          <w:color w:val="000000" w:themeColor="text1"/>
          <w:szCs w:val="24"/>
        </w:rPr>
        <w:t>para  el</w:t>
      </w:r>
      <w:proofErr w:type="gramEnd"/>
      <w:r w:rsidRPr="00FE1AC9">
        <w:rPr>
          <w:color w:val="000000" w:themeColor="text1"/>
          <w:szCs w:val="24"/>
        </w:rPr>
        <w:t xml:space="preserve"> tratamiento de la </w:t>
      </w:r>
      <w:proofErr w:type="spellStart"/>
      <w:r w:rsidRPr="00FE1AC9">
        <w:rPr>
          <w:color w:val="000000" w:themeColor="text1"/>
          <w:szCs w:val="24"/>
        </w:rPr>
        <w:t>hiperkalemia</w:t>
      </w:r>
      <w:proofErr w:type="spellEnd"/>
      <w:r w:rsidRPr="00FE1AC9">
        <w:rPr>
          <w:color w:val="000000" w:themeColor="text1"/>
          <w:szCs w:val="24"/>
        </w:rPr>
        <w:t xml:space="preserve"> en pacientes con Enfermedad Renal Crónica (ERC),  incluyendo aquellos en tratamiento con inhibidores del sistema renina-angiotensina aldosterona (</w:t>
      </w:r>
      <w:proofErr w:type="spellStart"/>
      <w:r w:rsidRPr="00FE1AC9">
        <w:rPr>
          <w:color w:val="000000" w:themeColor="text1"/>
          <w:szCs w:val="24"/>
        </w:rPr>
        <w:t>iSRAA</w:t>
      </w:r>
      <w:proofErr w:type="spellEnd"/>
      <w:r w:rsidRPr="00FE1AC9">
        <w:rPr>
          <w:color w:val="000000" w:themeColor="text1"/>
          <w:szCs w:val="24"/>
        </w:rPr>
        <w:t xml:space="preserve">) y diuréticos ahorradores de potasio. </w:t>
      </w:r>
    </w:p>
    <w:p w14:paraId="4EEDAC7B" w14:textId="77777777" w:rsidR="00883A00" w:rsidRPr="00FE1AC9" w:rsidRDefault="00883A00" w:rsidP="00883A00">
      <w:pPr>
        <w:spacing w:before="214" w:line="360" w:lineRule="auto"/>
        <w:ind w:left="20"/>
        <w:rPr>
          <w:b/>
          <w:bCs/>
          <w:color w:val="000000" w:themeColor="text1"/>
          <w:szCs w:val="24"/>
        </w:rPr>
      </w:pPr>
      <w:r w:rsidRPr="00FE1AC9">
        <w:rPr>
          <w:b/>
          <w:bCs/>
          <w:color w:val="000000" w:themeColor="text1"/>
          <w:szCs w:val="24"/>
        </w:rPr>
        <w:t xml:space="preserve">Mecanismo de acción </w:t>
      </w:r>
    </w:p>
    <w:p w14:paraId="0EFED0E4" w14:textId="77777777" w:rsidR="00883A00" w:rsidRDefault="00883A00" w:rsidP="00883A00">
      <w:pPr>
        <w:spacing w:before="62" w:line="360" w:lineRule="auto"/>
        <w:ind w:left="11" w:right="286" w:firstLine="7"/>
        <w:rPr>
          <w:szCs w:val="24"/>
        </w:rPr>
      </w:pPr>
      <w:r w:rsidRPr="00FE1AC9">
        <w:rPr>
          <w:color w:val="000000" w:themeColor="text1"/>
          <w:szCs w:val="24"/>
        </w:rPr>
        <w:t xml:space="preserve">El SZC actúa en el tracto gastrointestinal intercambiando iones de hidrógeno y sodio </w:t>
      </w:r>
      <w:proofErr w:type="gramStart"/>
      <w:r w:rsidRPr="00FE1AC9">
        <w:rPr>
          <w:color w:val="000000" w:themeColor="text1"/>
          <w:szCs w:val="24"/>
        </w:rPr>
        <w:t>por  potasio</w:t>
      </w:r>
      <w:proofErr w:type="gramEnd"/>
      <w:r w:rsidRPr="00FE1AC9">
        <w:rPr>
          <w:color w:val="000000" w:themeColor="text1"/>
          <w:szCs w:val="24"/>
        </w:rPr>
        <w:t>, con alta selectividad para el ion K</w:t>
      </w:r>
      <w:r w:rsidRPr="00FE1AC9">
        <w:rPr>
          <w:rFonts w:ascii="Cambria Math" w:hAnsi="Cambria Math" w:cs="Cambria Math"/>
          <w:color w:val="000000" w:themeColor="text1"/>
          <w:szCs w:val="24"/>
        </w:rPr>
        <w:t>⁺</w:t>
      </w:r>
      <w:r w:rsidRPr="00FE1AC9">
        <w:rPr>
          <w:color w:val="000000" w:themeColor="text1"/>
          <w:szCs w:val="24"/>
        </w:rPr>
        <w:t xml:space="preserve">. Su estructura cristalina permite una </w:t>
      </w:r>
      <w:proofErr w:type="gramStart"/>
      <w:r w:rsidRPr="00FE1AC9">
        <w:rPr>
          <w:color w:val="000000" w:themeColor="text1"/>
          <w:szCs w:val="24"/>
        </w:rPr>
        <w:t>uni</w:t>
      </w:r>
      <w:r w:rsidRPr="00FE1AC9">
        <w:rPr>
          <w:rFonts w:cs="Arial"/>
          <w:color w:val="000000" w:themeColor="text1"/>
          <w:szCs w:val="24"/>
        </w:rPr>
        <w:t>ó</w:t>
      </w:r>
      <w:r w:rsidRPr="00FE1AC9">
        <w:rPr>
          <w:color w:val="000000" w:themeColor="text1"/>
          <w:szCs w:val="24"/>
        </w:rPr>
        <w:t>n  eficiente</w:t>
      </w:r>
      <w:proofErr w:type="gramEnd"/>
      <w:r w:rsidRPr="00FE1AC9">
        <w:rPr>
          <w:color w:val="000000" w:themeColor="text1"/>
          <w:szCs w:val="24"/>
        </w:rPr>
        <w:t xml:space="preserve"> al potasio</w:t>
      </w:r>
      <w:r>
        <w:rPr>
          <w:szCs w:val="24"/>
        </w:rPr>
        <w:t>, facilitando su eliminaci</w:t>
      </w:r>
      <w:r>
        <w:rPr>
          <w:rFonts w:cs="Arial"/>
          <w:szCs w:val="24"/>
        </w:rPr>
        <w:t>ó</w:t>
      </w:r>
      <w:r>
        <w:rPr>
          <w:szCs w:val="24"/>
        </w:rPr>
        <w:t>n por las heces y reduciendo la concentraci</w:t>
      </w:r>
      <w:r>
        <w:rPr>
          <w:rFonts w:cs="Arial"/>
          <w:szCs w:val="24"/>
        </w:rPr>
        <w:t>ó</w:t>
      </w:r>
      <w:r>
        <w:rPr>
          <w:szCs w:val="24"/>
        </w:rPr>
        <w:t>n  s</w:t>
      </w:r>
      <w:r>
        <w:rPr>
          <w:rFonts w:cs="Arial"/>
          <w:szCs w:val="24"/>
        </w:rPr>
        <w:t>é</w:t>
      </w:r>
      <w:r>
        <w:rPr>
          <w:szCs w:val="24"/>
        </w:rPr>
        <w:t xml:space="preserve">rica de potasio de forma predecible. </w:t>
      </w:r>
    </w:p>
    <w:p w14:paraId="60A06503" w14:textId="77777777" w:rsidR="00883A00" w:rsidRPr="00FE1AC9" w:rsidRDefault="00883A00" w:rsidP="00883A00">
      <w:pPr>
        <w:spacing w:before="214" w:line="360" w:lineRule="auto"/>
        <w:ind w:left="20"/>
        <w:rPr>
          <w:b/>
          <w:bCs/>
          <w:szCs w:val="24"/>
        </w:rPr>
      </w:pPr>
      <w:r w:rsidRPr="00FE1AC9">
        <w:rPr>
          <w:b/>
          <w:bCs/>
          <w:szCs w:val="24"/>
        </w:rPr>
        <w:t xml:space="preserve">Dosis y administración </w:t>
      </w:r>
    </w:p>
    <w:p w14:paraId="0450080C" w14:textId="77777777" w:rsidR="00883A00" w:rsidRPr="00FE1AC9" w:rsidRDefault="00883A00" w:rsidP="00883A00">
      <w:pPr>
        <w:spacing w:before="64" w:line="360" w:lineRule="auto"/>
        <w:ind w:left="10"/>
        <w:rPr>
          <w:szCs w:val="24"/>
        </w:rPr>
      </w:pPr>
      <w:r w:rsidRPr="00FE1AC9">
        <w:rPr>
          <w:szCs w:val="24"/>
        </w:rPr>
        <w:t xml:space="preserve">- Dosis inicial: 10 g tres veces al día durante 48 horas. </w:t>
      </w:r>
    </w:p>
    <w:p w14:paraId="0D5173AD" w14:textId="77777777" w:rsidR="00883A00" w:rsidRPr="00FE1AC9" w:rsidRDefault="00883A00" w:rsidP="00883A00">
      <w:pPr>
        <w:spacing w:before="49" w:line="360" w:lineRule="auto"/>
        <w:ind w:left="10" w:right="977"/>
        <w:rPr>
          <w:szCs w:val="24"/>
        </w:rPr>
      </w:pPr>
      <w:r w:rsidRPr="00FE1AC9">
        <w:rPr>
          <w:szCs w:val="24"/>
        </w:rPr>
        <w:t xml:space="preserve">- Dosis de mantenimiento: 5 a 15 g una vez al día, ajustada según niveles </w:t>
      </w:r>
      <w:r w:rsidRPr="00FE1AC9">
        <w:rPr>
          <w:szCs w:val="24"/>
        </w:rPr>
        <w:lastRenderedPageBreak/>
        <w:t xml:space="preserve">de potasio. </w:t>
      </w:r>
    </w:p>
    <w:p w14:paraId="08CF79FC" w14:textId="77777777" w:rsidR="00883A00" w:rsidRPr="00FE1AC9" w:rsidRDefault="00883A00" w:rsidP="00883A00">
      <w:pPr>
        <w:spacing w:before="49" w:line="360" w:lineRule="auto"/>
        <w:ind w:left="10" w:right="977"/>
        <w:rPr>
          <w:b/>
          <w:bCs/>
          <w:szCs w:val="24"/>
        </w:rPr>
      </w:pPr>
      <w:r w:rsidRPr="00FE1AC9">
        <w:rPr>
          <w:szCs w:val="24"/>
        </w:rPr>
        <w:t xml:space="preserve">- Puede administrarse con o sin alimentos. No requiere refrigeración. </w:t>
      </w:r>
    </w:p>
    <w:p w14:paraId="1A876CA0" w14:textId="77777777" w:rsidR="00883A00" w:rsidRPr="00FE1AC9" w:rsidRDefault="00883A00" w:rsidP="00883A00">
      <w:pPr>
        <w:spacing w:before="214"/>
        <w:rPr>
          <w:b/>
          <w:bCs/>
          <w:szCs w:val="24"/>
        </w:rPr>
      </w:pPr>
      <w:r w:rsidRPr="00FE1AC9">
        <w:rPr>
          <w:b/>
          <w:bCs/>
          <w:szCs w:val="24"/>
        </w:rPr>
        <w:t xml:space="preserve">Ventajas clínicas </w:t>
      </w:r>
    </w:p>
    <w:p w14:paraId="585EF2D1" w14:textId="77777777" w:rsidR="00883A00" w:rsidRPr="00FE1AC9" w:rsidRDefault="00883A00" w:rsidP="00883A00">
      <w:pPr>
        <w:spacing w:line="360" w:lineRule="auto"/>
        <w:rPr>
          <w:szCs w:val="24"/>
        </w:rPr>
      </w:pPr>
      <w:r w:rsidRPr="00FE1AC9">
        <w:rPr>
          <w:szCs w:val="24"/>
        </w:rPr>
        <w:t xml:space="preserve">- Inicio de acción en aproximadamente 1 hora, con reducción significativa del potasio </w:t>
      </w:r>
      <w:proofErr w:type="gramStart"/>
      <w:r w:rsidRPr="00FE1AC9">
        <w:rPr>
          <w:szCs w:val="24"/>
        </w:rPr>
        <w:t>en  24</w:t>
      </w:r>
      <w:proofErr w:type="gramEnd"/>
      <w:r w:rsidRPr="00FE1AC9">
        <w:rPr>
          <w:szCs w:val="24"/>
        </w:rPr>
        <w:t xml:space="preserve">–48 h. </w:t>
      </w:r>
    </w:p>
    <w:p w14:paraId="4D961AB6" w14:textId="77777777" w:rsidR="00883A00" w:rsidRPr="00FE1AC9" w:rsidRDefault="00883A00" w:rsidP="00883A00">
      <w:pPr>
        <w:spacing w:line="360" w:lineRule="auto"/>
        <w:rPr>
          <w:szCs w:val="24"/>
        </w:rPr>
      </w:pPr>
      <w:r w:rsidRPr="00FE1AC9">
        <w:rPr>
          <w:szCs w:val="24"/>
        </w:rPr>
        <w:t xml:space="preserve">- Mejor tolerancia gastrointestinal comparado con poliestireno sulfonato. </w:t>
      </w:r>
    </w:p>
    <w:p w14:paraId="128B8958" w14:textId="77777777" w:rsidR="00883A00" w:rsidRPr="00FE1AC9" w:rsidRDefault="00883A00" w:rsidP="00883A00">
      <w:pPr>
        <w:spacing w:line="360" w:lineRule="auto"/>
        <w:rPr>
          <w:szCs w:val="24"/>
        </w:rPr>
      </w:pPr>
      <w:r w:rsidRPr="00FE1AC9">
        <w:rPr>
          <w:szCs w:val="24"/>
        </w:rPr>
        <w:t xml:space="preserve">- Menor riesgo de hiponatremia o alcalosis metabólica. </w:t>
      </w:r>
    </w:p>
    <w:p w14:paraId="0E20A48D" w14:textId="77777777" w:rsidR="00883A00" w:rsidRPr="00FE1AC9" w:rsidRDefault="00883A00" w:rsidP="00883A00">
      <w:pPr>
        <w:spacing w:line="360" w:lineRule="auto"/>
        <w:rPr>
          <w:szCs w:val="24"/>
        </w:rPr>
      </w:pPr>
      <w:r w:rsidRPr="00FE1AC9">
        <w:rPr>
          <w:szCs w:val="24"/>
        </w:rPr>
        <w:t xml:space="preserve">- Aprobado para uso crónico en pacientes con ERC estadio 3–5 y tratamiento con </w:t>
      </w:r>
      <w:proofErr w:type="spellStart"/>
      <w:proofErr w:type="gramStart"/>
      <w:r w:rsidRPr="00FE1AC9">
        <w:rPr>
          <w:szCs w:val="24"/>
        </w:rPr>
        <w:t>iSRAA</w:t>
      </w:r>
      <w:proofErr w:type="spellEnd"/>
      <w:r w:rsidRPr="00FE1AC9">
        <w:rPr>
          <w:szCs w:val="24"/>
        </w:rPr>
        <w:t xml:space="preserve">  (</w:t>
      </w:r>
      <w:proofErr w:type="gramEnd"/>
      <w:r w:rsidRPr="00FE1AC9">
        <w:rPr>
          <w:szCs w:val="24"/>
        </w:rPr>
        <w:t xml:space="preserve">Palmer et al., 2020; </w:t>
      </w:r>
      <w:proofErr w:type="spellStart"/>
      <w:r w:rsidRPr="00FE1AC9">
        <w:rPr>
          <w:szCs w:val="24"/>
        </w:rPr>
        <w:t>Fravel</w:t>
      </w:r>
      <w:proofErr w:type="spellEnd"/>
      <w:r w:rsidRPr="00FE1AC9">
        <w:rPr>
          <w:szCs w:val="24"/>
        </w:rPr>
        <w:t xml:space="preserve"> et al., 2023). </w:t>
      </w:r>
    </w:p>
    <w:p w14:paraId="155575D0" w14:textId="77777777" w:rsidR="00883A00" w:rsidRPr="00FE1AC9" w:rsidRDefault="00883A00" w:rsidP="00883A00">
      <w:pPr>
        <w:spacing w:before="216" w:line="360" w:lineRule="auto"/>
        <w:ind w:left="20"/>
        <w:rPr>
          <w:b/>
          <w:bCs/>
          <w:szCs w:val="24"/>
        </w:rPr>
      </w:pPr>
      <w:r w:rsidRPr="00FE1AC9">
        <w:rPr>
          <w:b/>
          <w:bCs/>
          <w:szCs w:val="24"/>
        </w:rPr>
        <w:t xml:space="preserve">Evidencia científica de soporte  </w:t>
      </w:r>
    </w:p>
    <w:p w14:paraId="0A957612" w14:textId="77777777" w:rsidR="00883A00" w:rsidRPr="00FE1AC9" w:rsidRDefault="00883A00" w:rsidP="00883A00">
      <w:pPr>
        <w:spacing w:line="360" w:lineRule="auto"/>
        <w:rPr>
          <w:szCs w:val="24"/>
        </w:rPr>
      </w:pPr>
      <w:r w:rsidRPr="00FE1AC9">
        <w:rPr>
          <w:szCs w:val="24"/>
        </w:rPr>
        <w:t xml:space="preserve">- Estudios como HARMONIZE y DIALIZE han demostrado su eficacia tanto en manejo </w:t>
      </w:r>
      <w:proofErr w:type="gramStart"/>
      <w:r w:rsidRPr="00FE1AC9">
        <w:rPr>
          <w:szCs w:val="24"/>
        </w:rPr>
        <w:t>agudo  como</w:t>
      </w:r>
      <w:proofErr w:type="gramEnd"/>
      <w:r w:rsidRPr="00FE1AC9">
        <w:rPr>
          <w:szCs w:val="24"/>
        </w:rPr>
        <w:t xml:space="preserve"> crónico, con reducción sostenida de K</w:t>
      </w:r>
      <w:r w:rsidRPr="00FE1AC9">
        <w:rPr>
          <w:rFonts w:ascii="Cambria Math" w:hAnsi="Cambria Math" w:cs="Cambria Math"/>
          <w:szCs w:val="24"/>
        </w:rPr>
        <w:t>⁺</w:t>
      </w:r>
      <w:r w:rsidRPr="00FE1AC9">
        <w:rPr>
          <w:szCs w:val="24"/>
        </w:rPr>
        <w:t xml:space="preserve"> y menor tasa de eventos adversos (</w:t>
      </w:r>
      <w:proofErr w:type="spellStart"/>
      <w:r w:rsidRPr="00FE1AC9">
        <w:rPr>
          <w:szCs w:val="24"/>
        </w:rPr>
        <w:t>Borrelli</w:t>
      </w:r>
      <w:proofErr w:type="spellEnd"/>
      <w:r w:rsidRPr="00FE1AC9">
        <w:rPr>
          <w:szCs w:val="24"/>
        </w:rPr>
        <w:t xml:space="preserve"> et  al., 2022). </w:t>
      </w:r>
    </w:p>
    <w:p w14:paraId="22DF4B49" w14:textId="77777777" w:rsidR="00883A00" w:rsidRPr="00FE1AC9" w:rsidRDefault="00883A00" w:rsidP="00883A00">
      <w:pPr>
        <w:spacing w:line="360" w:lineRule="auto"/>
        <w:rPr>
          <w:szCs w:val="24"/>
        </w:rPr>
      </w:pPr>
      <w:r w:rsidRPr="00FE1AC9">
        <w:rPr>
          <w:szCs w:val="24"/>
        </w:rPr>
        <w:t xml:space="preserve">- El consenso Japonés 2025 recomienda SZC como opción de primera línea en pacientes con IC o ERC avanzada con </w:t>
      </w:r>
      <w:proofErr w:type="spellStart"/>
      <w:r w:rsidRPr="00FE1AC9">
        <w:rPr>
          <w:szCs w:val="24"/>
        </w:rPr>
        <w:t>hiperkalemia</w:t>
      </w:r>
      <w:proofErr w:type="spellEnd"/>
      <w:r w:rsidRPr="00FE1AC9">
        <w:rPr>
          <w:szCs w:val="24"/>
        </w:rPr>
        <w:t xml:space="preserve"> crónica, especialmente para facilitar el </w:t>
      </w:r>
      <w:proofErr w:type="gramStart"/>
      <w:r w:rsidRPr="00FE1AC9">
        <w:rPr>
          <w:szCs w:val="24"/>
        </w:rPr>
        <w:t>uso  continuo</w:t>
      </w:r>
      <w:proofErr w:type="gramEnd"/>
      <w:r w:rsidRPr="00FE1AC9">
        <w:rPr>
          <w:szCs w:val="24"/>
        </w:rPr>
        <w:t xml:space="preserve"> de </w:t>
      </w:r>
      <w:proofErr w:type="spellStart"/>
      <w:r w:rsidRPr="00FE1AC9">
        <w:rPr>
          <w:szCs w:val="24"/>
        </w:rPr>
        <w:t>iSRAA</w:t>
      </w:r>
      <w:proofErr w:type="spellEnd"/>
      <w:r w:rsidRPr="00FE1AC9">
        <w:rPr>
          <w:szCs w:val="24"/>
        </w:rPr>
        <w:t xml:space="preserve"> (</w:t>
      </w:r>
      <w:proofErr w:type="spellStart"/>
      <w:r w:rsidRPr="00FE1AC9">
        <w:rPr>
          <w:szCs w:val="24"/>
        </w:rPr>
        <w:t>Kitai</w:t>
      </w:r>
      <w:proofErr w:type="spellEnd"/>
      <w:r w:rsidRPr="00FE1AC9">
        <w:rPr>
          <w:szCs w:val="24"/>
        </w:rPr>
        <w:t xml:space="preserve"> et al., 2025). </w:t>
      </w:r>
    </w:p>
    <w:p w14:paraId="6B57F294" w14:textId="77777777" w:rsidR="00883A00" w:rsidRDefault="00883A00" w:rsidP="00883A00">
      <w:pPr>
        <w:spacing w:line="360" w:lineRule="auto"/>
        <w:rPr>
          <w:szCs w:val="24"/>
        </w:rPr>
      </w:pPr>
      <w:r w:rsidRPr="00FE1AC9">
        <w:rPr>
          <w:szCs w:val="24"/>
        </w:rPr>
        <w:t xml:space="preserve">- El consenso Colombiano </w:t>
      </w:r>
      <w:r>
        <w:rPr>
          <w:szCs w:val="24"/>
        </w:rPr>
        <w:t xml:space="preserve">2024 recomienda SZC como opción de primera línea en pacientes con IC o ERC avanzada con </w:t>
      </w:r>
      <w:proofErr w:type="spellStart"/>
      <w:r>
        <w:rPr>
          <w:szCs w:val="24"/>
        </w:rPr>
        <w:t>hiperkalemia</w:t>
      </w:r>
      <w:proofErr w:type="spellEnd"/>
      <w:r>
        <w:rPr>
          <w:szCs w:val="24"/>
        </w:rPr>
        <w:t xml:space="preserve"> aguda y crónica, especialmente para facilitar el </w:t>
      </w:r>
      <w:proofErr w:type="gramStart"/>
      <w:r>
        <w:rPr>
          <w:szCs w:val="24"/>
        </w:rPr>
        <w:t>uso  continuo</w:t>
      </w:r>
      <w:proofErr w:type="gramEnd"/>
      <w:r>
        <w:rPr>
          <w:szCs w:val="24"/>
        </w:rPr>
        <w:t xml:space="preserve"> de </w:t>
      </w:r>
      <w:proofErr w:type="spellStart"/>
      <w:r>
        <w:rPr>
          <w:szCs w:val="24"/>
        </w:rPr>
        <w:t>iSRAA</w:t>
      </w:r>
      <w:proofErr w:type="spellEnd"/>
      <w:r>
        <w:rPr>
          <w:szCs w:val="24"/>
        </w:rPr>
        <w:t xml:space="preserve"> y los beneficios cardiovasculares que ello implica (Rico et al., 2023)</w:t>
      </w:r>
    </w:p>
    <w:p w14:paraId="489A6427" w14:textId="28020769" w:rsidR="00BD7E74" w:rsidRDefault="00BD7E74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26ED5242" w14:textId="7979778E" w:rsidR="00883A00" w:rsidRDefault="00883A00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43EC6AA9" w14:textId="77777777" w:rsidR="00883A00" w:rsidRDefault="00883A00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67A04178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357C9576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20ABDD27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20EAA998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6B80666F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2603D454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10E28B3A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5842AC40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241271D6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5F1F78C6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3C8561CA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3E47F604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7DA40D81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36834E91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044EAA0F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703D7762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57F32DCB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1303B24F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0C99C1BB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6DBB32FC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2BC7A633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16BEDB4E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3AAD4273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2607112B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0BF82B1C" w14:textId="77777777" w:rsidR="00FE1AC9" w:rsidRDefault="00FE1AC9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</w:p>
    <w:p w14:paraId="00A281F4" w14:textId="6C2B111B" w:rsidR="00BD7E74" w:rsidRDefault="002D19BA" w:rsidP="00BD7E74">
      <w:pPr>
        <w:rPr>
          <w:szCs w:val="24"/>
        </w:rPr>
      </w:pPr>
      <w:r w:rsidRPr="00526104">
        <w:rPr>
          <w:rFonts w:eastAsia="Batang" w:cs="Arial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702528" behindDoc="0" locked="0" layoutInCell="1" allowOverlap="1" wp14:anchorId="6055B582" wp14:editId="19370F34">
                <wp:simplePos x="0" y="0"/>
                <wp:positionH relativeFrom="page">
                  <wp:align>right</wp:align>
                </wp:positionH>
                <wp:positionV relativeFrom="paragraph">
                  <wp:posOffset>177165</wp:posOffset>
                </wp:positionV>
                <wp:extent cx="7453630" cy="533400"/>
                <wp:effectExtent l="0" t="0" r="0" b="0"/>
                <wp:wrapSquare wrapText="bothSides"/>
                <wp:docPr id="25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3630" cy="53340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6493CB" w14:textId="48EB0288" w:rsidR="00883A00" w:rsidRDefault="00526104" w:rsidP="00883A00">
                            <w:pPr>
                              <w:rPr>
                                <w:b/>
                                <w:bCs/>
                                <w:color w:val="365F91"/>
                                <w:sz w:val="28"/>
                                <w:szCs w:val="28"/>
                              </w:rPr>
                            </w:pPr>
                            <w:bookmarkStart w:id="32" w:name="_Toc219288212"/>
                            <w:r w:rsidRPr="00883A0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8.</w:t>
                            </w:r>
                            <w:bookmarkEnd w:id="32"/>
                            <w:r w:rsidRPr="00883A00">
                              <w:rPr>
                                <w:color w:val="FFFFFF" w:themeColor="background1"/>
                                <w:lang w:val="es-MX"/>
                              </w:rPr>
                              <w:t xml:space="preserve"> </w:t>
                            </w:r>
                            <w:r w:rsidR="00FE1AC9" w:rsidRPr="00883A0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RECOMENDACIONES DETALLADAS DE LAS GUIAS EN HIPERKALEMIA </w:t>
                            </w:r>
                            <w:proofErr w:type="gramStart"/>
                            <w:r w:rsidR="00FE1AC9" w:rsidRPr="00883A0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PARA  PACIENTES</w:t>
                            </w:r>
                            <w:proofErr w:type="gramEnd"/>
                            <w:r w:rsidR="00FE1AC9" w:rsidRPr="00883A0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CON ERC (TFG &lt;30 ML/MIN/1.73 M²)</w:t>
                            </w:r>
                          </w:p>
                          <w:p w14:paraId="7C81D4AE" w14:textId="578695BB" w:rsidR="00526104" w:rsidRPr="00883A00" w:rsidRDefault="00526104" w:rsidP="00526104">
                            <w:pPr>
                              <w:pStyle w:val="Ttulo1"/>
                              <w:rPr>
                                <w:lang w:val="es-MX" w:eastAsia="ko-KR"/>
                              </w:rPr>
                            </w:pPr>
                          </w:p>
                          <w:p w14:paraId="1BC912D8" w14:textId="77777777" w:rsidR="00526104" w:rsidRPr="00D42F8B" w:rsidRDefault="00526104" w:rsidP="00526104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5B582" id="_x0000_s1036" style="position:absolute;left:0;text-align:left;margin-left:535.7pt;margin-top:13.95pt;width:586.9pt;height:42pt;z-index:487702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" fillcolor="#736363" stroked="f" strokeweight="2pt">
                <v:textbox>
                  <w:txbxContent>
                    <w:p w14:paraId="326493CB" w14:textId="48EB0288" w:rsidR="00883A00" w:rsidRDefault="00526104" w:rsidP="00883A00">
                      <w:pPr>
                        <w:rPr>
                          <w:b/>
                          <w:bCs/>
                          <w:color w:val="365F91"/>
                          <w:sz w:val="28"/>
                          <w:szCs w:val="28"/>
                        </w:rPr>
                      </w:pPr>
                      <w:bookmarkStart w:id="65" w:name="_Toc219288212"/>
                      <w:r w:rsidRPr="00883A0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8.</w:t>
                      </w:r>
                      <w:bookmarkEnd w:id="65"/>
                      <w:r w:rsidRPr="00883A00">
                        <w:rPr>
                          <w:color w:val="FFFFFF" w:themeColor="background1"/>
                          <w:lang w:val="es-MX"/>
                        </w:rPr>
                        <w:t xml:space="preserve"> </w:t>
                      </w:r>
                      <w:r w:rsidR="00FE1AC9" w:rsidRPr="00883A0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RECOMENDACIONES DETALLADAS DE LAS GUIAS EN HIPERKALEMIA </w:t>
                      </w:r>
                      <w:proofErr w:type="gramStart"/>
                      <w:r w:rsidR="00FE1AC9" w:rsidRPr="00883A0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PARA  PACIENTES</w:t>
                      </w:r>
                      <w:proofErr w:type="gramEnd"/>
                      <w:r w:rsidR="00FE1AC9" w:rsidRPr="00883A0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CON ERC (TFG &lt;30 ML/MIN/1.73 M²)</w:t>
                      </w:r>
                    </w:p>
                    <w:p w14:paraId="7C81D4AE" w14:textId="578695BB" w:rsidR="00526104" w:rsidRPr="00883A00" w:rsidRDefault="00526104" w:rsidP="00526104">
                      <w:pPr>
                        <w:pStyle w:val="Ttulo1"/>
                        <w:rPr>
                          <w:lang w:val="es-MX" w:eastAsia="ko-KR"/>
                        </w:rPr>
                      </w:pPr>
                    </w:p>
                    <w:p w14:paraId="1BC912D8" w14:textId="77777777" w:rsidR="00526104" w:rsidRPr="00D42F8B" w:rsidRDefault="00526104" w:rsidP="00526104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75601AD2" w14:textId="20660B20" w:rsidR="00BD7E74" w:rsidRDefault="00BD7E74" w:rsidP="00BD7E74">
      <w:pPr>
        <w:rPr>
          <w:b/>
          <w:bCs/>
          <w:szCs w:val="24"/>
        </w:rPr>
      </w:pPr>
    </w:p>
    <w:tbl>
      <w:tblPr>
        <w:tblW w:w="9120" w:type="dxa"/>
        <w:tblInd w:w="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4305"/>
        <w:gridCol w:w="2745"/>
      </w:tblGrid>
      <w:tr w:rsidR="00883A00" w14:paraId="61DB2481" w14:textId="77777777" w:rsidTr="00D43B75">
        <w:trPr>
          <w:trHeight w:val="897"/>
        </w:trPr>
        <w:tc>
          <w:tcPr>
            <w:tcW w:w="20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7FB78" w14:textId="77777777" w:rsidR="00883A00" w:rsidRDefault="00883A00" w:rsidP="00D43B75">
            <w:pPr>
              <w:ind w:left="48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Aspecto </w:t>
            </w:r>
          </w:p>
          <w:p w14:paraId="6276F00D" w14:textId="77777777" w:rsidR="00883A00" w:rsidRDefault="00883A00" w:rsidP="00D43B75">
            <w:pPr>
              <w:spacing w:before="1103"/>
              <w:ind w:left="65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1. Uso de  </w:t>
            </w:r>
          </w:p>
          <w:p w14:paraId="07E40B2D" w14:textId="77777777" w:rsidR="00883A00" w:rsidRDefault="00883A00" w:rsidP="00D43B75">
            <w:pPr>
              <w:spacing w:before="51" w:line="280" w:lineRule="auto"/>
              <w:ind w:left="63" w:right="364" w:hanging="5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quelantes </w:t>
            </w:r>
            <w:proofErr w:type="gramStart"/>
            <w:r>
              <w:rPr>
                <w:b/>
                <w:bCs/>
                <w:sz w:val="22"/>
              </w:rPr>
              <w:t>de  potasio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</w:p>
          <w:p w14:paraId="528D78C4" w14:textId="77777777" w:rsidR="00883A00" w:rsidRDefault="00883A00" w:rsidP="00D43B75">
            <w:pPr>
              <w:spacing w:before="51" w:line="280" w:lineRule="auto"/>
              <w:ind w:left="63" w:right="364" w:hanging="5"/>
              <w:rPr>
                <w:b/>
                <w:bCs/>
              </w:rPr>
            </w:pPr>
          </w:p>
          <w:p w14:paraId="185ED29E" w14:textId="77777777" w:rsidR="00883A00" w:rsidRDefault="00883A00" w:rsidP="00D43B75">
            <w:pPr>
              <w:spacing w:before="51" w:line="280" w:lineRule="auto"/>
              <w:ind w:left="63" w:right="364" w:hanging="5"/>
              <w:rPr>
                <w:b/>
                <w:bCs/>
              </w:rPr>
            </w:pPr>
          </w:p>
          <w:p w14:paraId="08C2C1F5" w14:textId="77777777" w:rsidR="00883A00" w:rsidRDefault="00883A00" w:rsidP="00D43B75">
            <w:pPr>
              <w:spacing w:before="51" w:line="280" w:lineRule="auto"/>
              <w:ind w:left="63" w:right="364" w:hanging="5"/>
              <w:rPr>
                <w:b/>
                <w:bCs/>
              </w:rPr>
            </w:pPr>
          </w:p>
          <w:p w14:paraId="32977D37" w14:textId="77777777" w:rsidR="00883A00" w:rsidRDefault="00883A00" w:rsidP="00D43B75">
            <w:pPr>
              <w:spacing w:before="51" w:line="280" w:lineRule="auto"/>
              <w:ind w:left="63" w:right="364" w:hanging="5"/>
              <w:rPr>
                <w:b/>
                <w:bCs/>
                <w:sz w:val="20"/>
                <w:szCs w:val="20"/>
              </w:rPr>
            </w:pPr>
          </w:p>
          <w:p w14:paraId="78AB7D12" w14:textId="77777777" w:rsidR="00883A00" w:rsidRDefault="00883A00" w:rsidP="00D43B75">
            <w:pPr>
              <w:spacing w:before="51" w:line="280" w:lineRule="auto"/>
              <w:ind w:left="63" w:right="364" w:hanging="5"/>
              <w:rPr>
                <w:b/>
                <w:bCs/>
                <w:sz w:val="20"/>
                <w:szCs w:val="20"/>
              </w:rPr>
            </w:pPr>
          </w:p>
          <w:p w14:paraId="65EA106D" w14:textId="77777777" w:rsidR="00883A00" w:rsidRDefault="00883A00" w:rsidP="00D43B75">
            <w:pPr>
              <w:spacing w:before="51" w:line="280" w:lineRule="auto"/>
              <w:ind w:left="63" w:right="364" w:hanging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Revisión  </w:t>
            </w:r>
          </w:p>
          <w:p w14:paraId="5F850D39" w14:textId="77777777" w:rsidR="00883A00" w:rsidRDefault="00883A00" w:rsidP="00D43B75">
            <w:pPr>
              <w:spacing w:before="51"/>
              <w:ind w:left="51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farmacológica</w:t>
            </w:r>
            <w:r>
              <w:rPr>
                <w:b/>
                <w:bCs/>
                <w:sz w:val="22"/>
              </w:rPr>
              <w:t xml:space="preserve"> </w:t>
            </w:r>
          </w:p>
          <w:p w14:paraId="0E592591" w14:textId="77777777" w:rsidR="00883A00" w:rsidRDefault="00883A00" w:rsidP="00D43B75">
            <w:pPr>
              <w:spacing w:before="1881"/>
              <w:ind w:left="5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 Monitorización </w:t>
            </w:r>
          </w:p>
          <w:p w14:paraId="0D02E7B2" w14:textId="77777777" w:rsidR="00883A00" w:rsidRDefault="00883A00" w:rsidP="00D43B75">
            <w:pPr>
              <w:spacing w:before="49" w:line="1284" w:lineRule="auto"/>
              <w:ind w:left="52" w:right="161" w:firstLine="13"/>
              <w:rPr>
                <w:b/>
                <w:bCs/>
              </w:rPr>
            </w:pPr>
          </w:p>
          <w:p w14:paraId="437F5E19" w14:textId="77777777" w:rsidR="00883A00" w:rsidRDefault="00883A00" w:rsidP="00D43B75">
            <w:pPr>
              <w:spacing w:before="49" w:line="1284" w:lineRule="auto"/>
              <w:ind w:left="52" w:right="161" w:firstLine="13"/>
              <w:rPr>
                <w:b/>
                <w:bCs/>
              </w:rPr>
            </w:pPr>
          </w:p>
          <w:p w14:paraId="0849B509" w14:textId="77777777" w:rsidR="00883A00" w:rsidRDefault="00883A00" w:rsidP="00D43B75">
            <w:pPr>
              <w:spacing w:before="49" w:line="1284" w:lineRule="auto"/>
              <w:ind w:left="52" w:right="161" w:firstLine="13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4. Hemodiálisis 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C67B" w14:textId="77777777" w:rsidR="00883A00" w:rsidRDefault="00883A00" w:rsidP="00D43B75">
            <w:pPr>
              <w:ind w:left="42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Recomendación Clínica Detallada</w:t>
            </w:r>
          </w:p>
        </w:tc>
        <w:tc>
          <w:tcPr>
            <w:tcW w:w="27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5169A" w14:textId="77777777" w:rsidR="00883A00" w:rsidRDefault="00883A00" w:rsidP="00D43B75">
            <w:pPr>
              <w:ind w:left="42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Referencias  </w:t>
            </w:r>
          </w:p>
          <w:p w14:paraId="55F0FB71" w14:textId="77777777" w:rsidR="00883A00" w:rsidRDefault="00883A00" w:rsidP="00D43B75">
            <w:pPr>
              <w:spacing w:before="51"/>
              <w:ind w:left="42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Bibliográficas </w:t>
            </w:r>
          </w:p>
          <w:p w14:paraId="18EB14AA" w14:textId="77777777" w:rsidR="00883A00" w:rsidRPr="00FE1AC9" w:rsidRDefault="00883A00" w:rsidP="00D43B75">
            <w:pPr>
              <w:spacing w:before="639" w:line="279" w:lineRule="auto"/>
              <w:ind w:left="37" w:right="30" w:firstLine="6"/>
              <w:rPr>
                <w:i/>
                <w:iCs/>
                <w:lang w:val="en-US"/>
              </w:rPr>
            </w:pPr>
            <w:r>
              <w:rPr>
                <w:sz w:val="22"/>
              </w:rPr>
              <w:t xml:space="preserve">Palmer BF et al. </w:t>
            </w:r>
            <w:proofErr w:type="gramStart"/>
            <w:r>
              <w:rPr>
                <w:i/>
                <w:iCs/>
                <w:sz w:val="22"/>
              </w:rPr>
              <w:t>Mayo  Clin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Proc</w:t>
            </w:r>
            <w:proofErr w:type="spellEnd"/>
            <w:r>
              <w:rPr>
                <w:sz w:val="22"/>
              </w:rPr>
              <w:t xml:space="preserve">, 2020; </w:t>
            </w:r>
            <w:proofErr w:type="spellStart"/>
            <w:r>
              <w:rPr>
                <w:sz w:val="22"/>
              </w:rPr>
              <w:t>Fravel</w:t>
            </w:r>
            <w:proofErr w:type="spellEnd"/>
            <w:r>
              <w:rPr>
                <w:sz w:val="22"/>
              </w:rPr>
              <w:t xml:space="preserve">  MA et al. </w:t>
            </w:r>
            <w:r w:rsidRPr="00FE1AC9">
              <w:rPr>
                <w:i/>
                <w:iCs/>
                <w:sz w:val="22"/>
                <w:lang w:val="en-US"/>
              </w:rPr>
              <w:t xml:space="preserve">Curr  </w:t>
            </w:r>
          </w:p>
          <w:p w14:paraId="0D8485D8" w14:textId="77777777" w:rsidR="00883A00" w:rsidRPr="00FE1AC9" w:rsidRDefault="00883A00" w:rsidP="00D43B75">
            <w:pPr>
              <w:spacing w:before="15" w:line="280" w:lineRule="auto"/>
              <w:ind w:left="44" w:right="121" w:hanging="11"/>
              <w:rPr>
                <w:lang w:val="en-US"/>
              </w:rPr>
            </w:pPr>
            <w:proofErr w:type="spellStart"/>
            <w:r w:rsidRPr="00FE1AC9">
              <w:rPr>
                <w:i/>
                <w:iCs/>
                <w:sz w:val="22"/>
                <w:lang w:val="en-US"/>
              </w:rPr>
              <w:t>Hypertens</w:t>
            </w:r>
            <w:proofErr w:type="spellEnd"/>
            <w:r w:rsidRPr="00FE1AC9">
              <w:rPr>
                <w:i/>
                <w:iCs/>
                <w:sz w:val="22"/>
                <w:lang w:val="en-US"/>
              </w:rPr>
              <w:t xml:space="preserve"> Rep</w:t>
            </w:r>
            <w:r w:rsidRPr="00FE1AC9">
              <w:rPr>
                <w:sz w:val="22"/>
                <w:lang w:val="en-US"/>
              </w:rPr>
              <w:t xml:space="preserve">, </w:t>
            </w:r>
            <w:proofErr w:type="gramStart"/>
            <w:r w:rsidRPr="00FE1AC9">
              <w:rPr>
                <w:sz w:val="22"/>
                <w:lang w:val="en-US"/>
              </w:rPr>
              <w:t>2023;  KDIGO</w:t>
            </w:r>
            <w:proofErr w:type="gramEnd"/>
            <w:r w:rsidRPr="00FE1AC9">
              <w:rPr>
                <w:sz w:val="22"/>
                <w:lang w:val="en-US"/>
              </w:rPr>
              <w:t xml:space="preserve"> 2024. </w:t>
            </w:r>
          </w:p>
          <w:p w14:paraId="300F58E8" w14:textId="77777777" w:rsidR="00883A00" w:rsidRPr="00FE1AC9" w:rsidRDefault="00883A00" w:rsidP="00D43B75">
            <w:pPr>
              <w:spacing w:before="15" w:line="280" w:lineRule="auto"/>
              <w:ind w:left="44" w:right="121" w:hanging="11"/>
              <w:rPr>
                <w:lang w:val="en-US"/>
              </w:rPr>
            </w:pPr>
          </w:p>
          <w:p w14:paraId="57D280EA" w14:textId="77777777" w:rsidR="00883A00" w:rsidRPr="00FE1AC9" w:rsidRDefault="00883A00" w:rsidP="00D43B75">
            <w:pPr>
              <w:spacing w:before="15" w:line="280" w:lineRule="auto"/>
              <w:ind w:left="44" w:right="121" w:hanging="11"/>
              <w:rPr>
                <w:lang w:val="en-US"/>
              </w:rPr>
            </w:pPr>
          </w:p>
          <w:p w14:paraId="41A87988" w14:textId="77777777" w:rsidR="00883A00" w:rsidRPr="00FE1AC9" w:rsidRDefault="00883A00" w:rsidP="00D43B75">
            <w:pPr>
              <w:spacing w:before="15" w:line="280" w:lineRule="auto"/>
              <w:ind w:left="44" w:right="121" w:hanging="11"/>
              <w:rPr>
                <w:lang w:val="en-US"/>
              </w:rPr>
            </w:pPr>
          </w:p>
          <w:p w14:paraId="774B3F27" w14:textId="77777777" w:rsidR="00883A00" w:rsidRPr="00FE1AC9" w:rsidRDefault="00883A00" w:rsidP="00D43B75">
            <w:pPr>
              <w:spacing w:before="15" w:line="280" w:lineRule="auto"/>
              <w:ind w:left="44" w:right="121" w:hanging="11"/>
              <w:rPr>
                <w:lang w:val="en-US"/>
              </w:rPr>
            </w:pPr>
          </w:p>
          <w:p w14:paraId="1CC2B8D3" w14:textId="77777777" w:rsidR="00883A00" w:rsidRDefault="00883A00" w:rsidP="00D43B75">
            <w:pPr>
              <w:spacing w:before="15" w:line="280" w:lineRule="auto"/>
              <w:ind w:left="44" w:right="121" w:hanging="11"/>
            </w:pPr>
            <w:r w:rsidRPr="00FE1AC9">
              <w:rPr>
                <w:sz w:val="22"/>
                <w:lang w:val="en-US"/>
              </w:rPr>
              <w:t xml:space="preserve">Kitai T et al. </w:t>
            </w:r>
            <w:proofErr w:type="spellStart"/>
            <w:r>
              <w:rPr>
                <w:i/>
                <w:iCs/>
                <w:sz w:val="22"/>
              </w:rPr>
              <w:t>Circ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J</w:t>
            </w:r>
            <w:r>
              <w:rPr>
                <w:sz w:val="22"/>
              </w:rPr>
              <w:t>,  2025</w:t>
            </w:r>
            <w:proofErr w:type="gramEnd"/>
            <w:r>
              <w:rPr>
                <w:sz w:val="22"/>
              </w:rPr>
              <w:t xml:space="preserve">; Palmer BF &amp;  Clegg DJ. </w:t>
            </w:r>
            <w:proofErr w:type="spellStart"/>
            <w:r>
              <w:rPr>
                <w:i/>
                <w:iCs/>
                <w:sz w:val="22"/>
              </w:rPr>
              <w:t>Nephrol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 xml:space="preserve">Dial  </w:t>
            </w:r>
            <w:proofErr w:type="spellStart"/>
            <w:r>
              <w:rPr>
                <w:i/>
                <w:iCs/>
                <w:sz w:val="22"/>
              </w:rPr>
              <w:t>Transplant</w:t>
            </w:r>
            <w:proofErr w:type="spellEnd"/>
            <w:proofErr w:type="gramEnd"/>
            <w:r>
              <w:rPr>
                <w:sz w:val="22"/>
              </w:rPr>
              <w:t xml:space="preserve">, 2024;  KDIGO 2024. </w:t>
            </w:r>
          </w:p>
          <w:p w14:paraId="753941A7" w14:textId="77777777" w:rsidR="00883A00" w:rsidRDefault="00883A00" w:rsidP="00D43B75">
            <w:pPr>
              <w:spacing w:before="1071" w:line="279" w:lineRule="auto"/>
              <w:ind w:left="33" w:right="100" w:firstLine="11"/>
              <w:rPr>
                <w:i/>
                <w:iCs/>
              </w:rPr>
            </w:pPr>
            <w:r>
              <w:rPr>
                <w:sz w:val="22"/>
              </w:rPr>
              <w:t xml:space="preserve">KDIGO 2024; KDOQI  2020; Palmer BF et al.  </w:t>
            </w:r>
            <w:proofErr w:type="spellStart"/>
            <w:r>
              <w:rPr>
                <w:i/>
                <w:iCs/>
                <w:sz w:val="22"/>
              </w:rPr>
              <w:t>Nephrol</w:t>
            </w:r>
            <w:proofErr w:type="spellEnd"/>
            <w:r>
              <w:rPr>
                <w:i/>
                <w:iCs/>
                <w:sz w:val="22"/>
              </w:rPr>
              <w:t xml:space="preserve"> Dial  </w:t>
            </w:r>
          </w:p>
          <w:p w14:paraId="30989D0E" w14:textId="77777777" w:rsidR="00883A00" w:rsidRDefault="00883A00" w:rsidP="00D43B75">
            <w:pPr>
              <w:spacing w:before="15"/>
              <w:ind w:left="43"/>
            </w:pPr>
            <w:proofErr w:type="spellStart"/>
            <w:r>
              <w:rPr>
                <w:i/>
                <w:iCs/>
                <w:sz w:val="22"/>
              </w:rPr>
              <w:t>Transplant</w:t>
            </w:r>
            <w:proofErr w:type="spellEnd"/>
            <w:r>
              <w:rPr>
                <w:sz w:val="22"/>
              </w:rPr>
              <w:t xml:space="preserve">, 2024. </w:t>
            </w:r>
          </w:p>
          <w:p w14:paraId="69CDDF73" w14:textId="77777777" w:rsidR="00883A00" w:rsidRDefault="00883A00" w:rsidP="00D43B75">
            <w:pPr>
              <w:spacing w:before="798" w:line="278" w:lineRule="auto"/>
              <w:ind w:left="36" w:right="35" w:firstLine="7"/>
            </w:pPr>
          </w:p>
          <w:p w14:paraId="1A0235EA" w14:textId="77777777" w:rsidR="00883A00" w:rsidRDefault="00883A00" w:rsidP="00D43B75">
            <w:pPr>
              <w:spacing w:before="798" w:line="278" w:lineRule="auto"/>
              <w:ind w:left="36" w:right="35" w:firstLine="7"/>
            </w:pPr>
            <w:r>
              <w:rPr>
                <w:sz w:val="22"/>
              </w:rPr>
              <w:t xml:space="preserve">KDIGO 2024; </w:t>
            </w:r>
            <w:proofErr w:type="spellStart"/>
            <w:r>
              <w:rPr>
                <w:sz w:val="22"/>
              </w:rPr>
              <w:t>Borrelli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S  et al.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Int</w:t>
            </w:r>
            <w:proofErr w:type="spellEnd"/>
            <w:r>
              <w:rPr>
                <w:i/>
                <w:iCs/>
                <w:sz w:val="22"/>
              </w:rPr>
              <w:t xml:space="preserve"> J Mol </w:t>
            </w:r>
            <w:proofErr w:type="spellStart"/>
            <w:r>
              <w:rPr>
                <w:i/>
                <w:iCs/>
                <w:sz w:val="22"/>
              </w:rPr>
              <w:t>Sci</w:t>
            </w:r>
            <w:proofErr w:type="spellEnd"/>
            <w:r>
              <w:rPr>
                <w:sz w:val="22"/>
              </w:rPr>
              <w:t xml:space="preserve">, 2022; Palmer BF. </w:t>
            </w:r>
            <w:r>
              <w:rPr>
                <w:i/>
                <w:iCs/>
                <w:sz w:val="22"/>
              </w:rPr>
              <w:t xml:space="preserve">Mayo Clin </w:t>
            </w:r>
            <w:proofErr w:type="spellStart"/>
            <w:r>
              <w:rPr>
                <w:i/>
                <w:iCs/>
                <w:sz w:val="22"/>
              </w:rPr>
              <w:t>Proc</w:t>
            </w:r>
            <w:proofErr w:type="spellEnd"/>
            <w:r>
              <w:rPr>
                <w:sz w:val="22"/>
              </w:rPr>
              <w:t>, 2020.</w:t>
            </w:r>
          </w:p>
        </w:tc>
      </w:tr>
      <w:tr w:rsidR="00883A00" w14:paraId="63A6114C" w14:textId="77777777" w:rsidTr="00D43B75">
        <w:trPr>
          <w:trHeight w:val="2443"/>
        </w:trPr>
        <w:tc>
          <w:tcPr>
            <w:tcW w:w="2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422E" w14:textId="77777777" w:rsidR="00883A00" w:rsidRDefault="00883A00" w:rsidP="00D43B75"/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BA5F8" w14:textId="77777777" w:rsidR="00883A00" w:rsidRDefault="00883A00" w:rsidP="00D43B75">
            <w:pPr>
              <w:spacing w:line="279" w:lineRule="auto"/>
              <w:ind w:left="39" w:right="124" w:hanging="3"/>
            </w:pPr>
            <w:r>
              <w:rPr>
                <w:sz w:val="22"/>
              </w:rPr>
              <w:t xml:space="preserve">- Utilizar </w:t>
            </w:r>
            <w:r>
              <w:rPr>
                <w:b/>
                <w:bCs/>
                <w:sz w:val="22"/>
              </w:rPr>
              <w:t xml:space="preserve">SZC LOKELMA </w:t>
            </w:r>
            <w:r>
              <w:rPr>
                <w:sz w:val="22"/>
              </w:rPr>
              <w:t xml:space="preserve">(5–15 g/día) </w:t>
            </w:r>
            <w:proofErr w:type="spellStart"/>
            <w:r>
              <w:rPr>
                <w:b/>
                <w:bCs/>
                <w:sz w:val="22"/>
              </w:rPr>
              <w:t>patiromer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r>
              <w:rPr>
                <w:sz w:val="22"/>
              </w:rPr>
              <w:t xml:space="preserve">(8.4–25.2 g/día) para tratamiento </w:t>
            </w:r>
            <w:r>
              <w:rPr>
                <w:b/>
                <w:bCs/>
                <w:sz w:val="22"/>
              </w:rPr>
              <w:t xml:space="preserve">crónico </w:t>
            </w:r>
            <w:proofErr w:type="gramStart"/>
            <w:r>
              <w:rPr>
                <w:b/>
                <w:bCs/>
                <w:sz w:val="22"/>
              </w:rPr>
              <w:t xml:space="preserve">de  </w:t>
            </w:r>
            <w:proofErr w:type="spellStart"/>
            <w:r>
              <w:rPr>
                <w:b/>
                <w:bCs/>
                <w:sz w:val="22"/>
              </w:rPr>
              <w:t>hiperkalemia</w:t>
            </w:r>
            <w:proofErr w:type="spellEnd"/>
            <w:proofErr w:type="gramEnd"/>
            <w:r>
              <w:rPr>
                <w:b/>
                <w:bCs/>
                <w:sz w:val="22"/>
              </w:rPr>
              <w:t xml:space="preserve"> leve a moderada</w:t>
            </w:r>
            <w:r>
              <w:rPr>
                <w:sz w:val="22"/>
              </w:rPr>
              <w:t>.</w:t>
            </w:r>
          </w:p>
          <w:p w14:paraId="065AEAF9" w14:textId="77777777" w:rsidR="00883A00" w:rsidRDefault="00883A00" w:rsidP="00D43B75">
            <w:pPr>
              <w:spacing w:line="279" w:lineRule="auto"/>
              <w:ind w:left="39" w:right="124" w:hanging="3"/>
            </w:pPr>
            <w:r>
              <w:rPr>
                <w:sz w:val="22"/>
              </w:rPr>
              <w:t xml:space="preserve">- Eficaces </w:t>
            </w:r>
            <w:proofErr w:type="gramStart"/>
            <w:r>
              <w:rPr>
                <w:sz w:val="22"/>
              </w:rPr>
              <w:t>en  mantener</w:t>
            </w:r>
            <w:proofErr w:type="gramEnd"/>
            <w:r>
              <w:rPr>
                <w:sz w:val="22"/>
              </w:rPr>
              <w:t xml:space="preserve"> el uso de </w:t>
            </w:r>
            <w:proofErr w:type="spellStart"/>
            <w:r>
              <w:rPr>
                <w:sz w:val="22"/>
              </w:rPr>
              <w:t>iSRAA</w:t>
            </w:r>
            <w:proofErr w:type="spellEnd"/>
            <w:r>
              <w:rPr>
                <w:sz w:val="22"/>
              </w:rPr>
              <w:t xml:space="preserve"> en pacientes con  ERC y falla cardíaca.</w:t>
            </w:r>
          </w:p>
          <w:p w14:paraId="68F4F7B2" w14:textId="77777777" w:rsidR="00883A00" w:rsidRDefault="00883A00" w:rsidP="00D43B75">
            <w:pPr>
              <w:spacing w:line="279" w:lineRule="auto"/>
              <w:ind w:left="39" w:right="124" w:hanging="3"/>
            </w:pPr>
            <w:r>
              <w:rPr>
                <w:sz w:val="22"/>
              </w:rPr>
              <w:t xml:space="preserve">- Evitar uso prolongado </w:t>
            </w:r>
            <w:proofErr w:type="gramStart"/>
            <w:r>
              <w:rPr>
                <w:sz w:val="22"/>
              </w:rPr>
              <w:t xml:space="preserve">de  </w:t>
            </w:r>
            <w:r>
              <w:rPr>
                <w:b/>
                <w:bCs/>
                <w:sz w:val="22"/>
              </w:rPr>
              <w:t>resinas</w:t>
            </w:r>
            <w:proofErr w:type="gramEnd"/>
            <w:r>
              <w:rPr>
                <w:b/>
                <w:bCs/>
                <w:sz w:val="22"/>
              </w:rPr>
              <w:t xml:space="preserve"> de sulfonato sódico de poliestireno </w:t>
            </w:r>
            <w:r>
              <w:rPr>
                <w:sz w:val="22"/>
              </w:rPr>
              <w:t>por riesgo de necrosis intestinal.</w:t>
            </w:r>
          </w:p>
        </w:tc>
        <w:tc>
          <w:tcPr>
            <w:tcW w:w="2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4C12" w14:textId="77777777" w:rsidR="00883A00" w:rsidRDefault="00883A00" w:rsidP="00D43B75"/>
        </w:tc>
      </w:tr>
      <w:tr w:rsidR="00883A00" w14:paraId="305A0F1C" w14:textId="77777777" w:rsidTr="00D43B75">
        <w:trPr>
          <w:trHeight w:val="2445"/>
        </w:trPr>
        <w:tc>
          <w:tcPr>
            <w:tcW w:w="2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28ABD" w14:textId="77777777" w:rsidR="00883A00" w:rsidRDefault="00883A00" w:rsidP="00D43B75"/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77B6" w14:textId="77777777" w:rsidR="00883A00" w:rsidRDefault="00883A00" w:rsidP="00D43B75">
            <w:pPr>
              <w:spacing w:line="280" w:lineRule="auto"/>
              <w:ind w:left="35" w:right="136"/>
            </w:pPr>
            <w:r>
              <w:rPr>
                <w:sz w:val="22"/>
              </w:rPr>
              <w:t xml:space="preserve">- No suspender </w:t>
            </w:r>
            <w:proofErr w:type="spellStart"/>
            <w:r>
              <w:rPr>
                <w:sz w:val="22"/>
              </w:rPr>
              <w:t>iSRAA</w:t>
            </w:r>
            <w:proofErr w:type="spellEnd"/>
            <w:r>
              <w:rPr>
                <w:sz w:val="22"/>
              </w:rPr>
              <w:t xml:space="preserve"> de forma sistemática </w:t>
            </w:r>
            <w:proofErr w:type="gramStart"/>
            <w:r>
              <w:rPr>
                <w:sz w:val="22"/>
              </w:rPr>
              <w:t>si  K</w:t>
            </w:r>
            <w:proofErr w:type="gramEnd"/>
            <w:r>
              <w:rPr>
                <w:rFonts w:ascii="Cambria Math" w:eastAsia="Cambria Math" w:hAnsi="Cambria Math" w:cs="Cambria Math"/>
                <w:sz w:val="22"/>
              </w:rPr>
              <w:t xml:space="preserve">⁺ </w:t>
            </w:r>
            <w:r>
              <w:rPr>
                <w:sz w:val="22"/>
              </w:rPr>
              <w:t xml:space="preserve">&lt;6.0 mEq/L; priorizar control con dieta y  quelantes.- Retirar o ajustar: </w:t>
            </w:r>
            <w:r>
              <w:rPr>
                <w:b/>
                <w:bCs/>
                <w:sz w:val="22"/>
              </w:rPr>
              <w:t>diuréticos  ahorradores de K</w:t>
            </w:r>
            <w:r>
              <w:rPr>
                <w:rFonts w:ascii="Cambria Math" w:eastAsia="Cambria Math" w:hAnsi="Cambria Math" w:cs="Cambria Math"/>
                <w:sz w:val="22"/>
              </w:rPr>
              <w:t>⁺</w:t>
            </w:r>
            <w:r>
              <w:rPr>
                <w:sz w:val="22"/>
              </w:rPr>
              <w:t xml:space="preserve">, </w:t>
            </w:r>
            <w:r>
              <w:rPr>
                <w:b/>
                <w:bCs/>
                <w:sz w:val="22"/>
              </w:rPr>
              <w:t>heparina</w:t>
            </w:r>
            <w:r>
              <w:rPr>
                <w:sz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</w:rPr>
              <w:t>AINEs</w:t>
            </w:r>
            <w:proofErr w:type="spellEnd"/>
            <w:r>
              <w:rPr>
                <w:sz w:val="22"/>
              </w:rPr>
              <w:t xml:space="preserve">, y  </w:t>
            </w:r>
            <w:r>
              <w:rPr>
                <w:b/>
                <w:bCs/>
                <w:sz w:val="22"/>
              </w:rPr>
              <w:t>suplementos de potasio</w:t>
            </w:r>
            <w:r>
              <w:rPr>
                <w:sz w:val="22"/>
              </w:rPr>
              <w:t xml:space="preserve">.- Usar </w:t>
            </w:r>
            <w:r>
              <w:rPr>
                <w:b/>
                <w:bCs/>
                <w:sz w:val="22"/>
              </w:rPr>
              <w:t xml:space="preserve">diuréticos de  asa </w:t>
            </w:r>
            <w:r>
              <w:rPr>
                <w:sz w:val="22"/>
              </w:rPr>
              <w:t>si hay sobrecarga de volumen o GFR  residual.</w:t>
            </w:r>
          </w:p>
        </w:tc>
        <w:tc>
          <w:tcPr>
            <w:tcW w:w="2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A4F1D" w14:textId="77777777" w:rsidR="00883A00" w:rsidRDefault="00883A00" w:rsidP="00D43B75"/>
        </w:tc>
      </w:tr>
      <w:tr w:rsidR="00883A00" w14:paraId="0CF6CA9B" w14:textId="77777777" w:rsidTr="00D43B75">
        <w:trPr>
          <w:trHeight w:val="2448"/>
        </w:trPr>
        <w:tc>
          <w:tcPr>
            <w:tcW w:w="2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7D84" w14:textId="77777777" w:rsidR="00883A00" w:rsidRDefault="00883A00" w:rsidP="00D43B75"/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EA5A" w14:textId="77777777" w:rsidR="00883A00" w:rsidRDefault="00883A00" w:rsidP="00D43B75">
            <w:pPr>
              <w:spacing w:line="280" w:lineRule="auto"/>
              <w:ind w:left="28" w:right="219" w:firstLine="7"/>
            </w:pPr>
            <w:r>
              <w:rPr>
                <w:sz w:val="22"/>
              </w:rPr>
              <w:t>- Medir K</w:t>
            </w:r>
            <w:r>
              <w:rPr>
                <w:rFonts w:ascii="Cambria Math" w:eastAsia="Cambria Math" w:hAnsi="Cambria Math" w:cs="Cambria Math"/>
                <w:sz w:val="22"/>
              </w:rPr>
              <w:t xml:space="preserve">⁺ </w:t>
            </w:r>
            <w:r>
              <w:rPr>
                <w:sz w:val="22"/>
              </w:rPr>
              <w:t xml:space="preserve">sérico </w:t>
            </w:r>
            <w:r>
              <w:rPr>
                <w:b/>
                <w:bCs/>
                <w:sz w:val="22"/>
              </w:rPr>
              <w:t xml:space="preserve">48–72 h tras iniciar o ajustar </w:t>
            </w:r>
            <w:r>
              <w:rPr>
                <w:sz w:val="22"/>
              </w:rPr>
              <w:t xml:space="preserve">terapias que afecten el </w:t>
            </w:r>
            <w:proofErr w:type="gramStart"/>
            <w:r>
              <w:rPr>
                <w:sz w:val="22"/>
              </w:rPr>
              <w:t>potasio.-</w:t>
            </w:r>
            <w:proofErr w:type="gramEnd"/>
            <w:r>
              <w:rPr>
                <w:sz w:val="22"/>
              </w:rPr>
              <w:t xml:space="preserve"> Control  semanal al introducir </w:t>
            </w:r>
            <w:proofErr w:type="spellStart"/>
            <w:r>
              <w:rPr>
                <w:sz w:val="22"/>
              </w:rPr>
              <w:t>iSRAA</w:t>
            </w:r>
            <w:proofErr w:type="spellEnd"/>
            <w:r>
              <w:rPr>
                <w:sz w:val="22"/>
              </w:rPr>
              <w:t>, diuréticos o  quelantes.- Monitoreo más frecuente en  presencia de diabetes, acidosis, o uso de  múltiples fármacos.- Incluir función renal,  bicarbonato, y ECG si K</w:t>
            </w:r>
            <w:r>
              <w:rPr>
                <w:rFonts w:ascii="Cambria Math" w:eastAsia="Cambria Math" w:hAnsi="Cambria Math" w:cs="Cambria Math"/>
                <w:sz w:val="22"/>
              </w:rPr>
              <w:t xml:space="preserve">⁺ </w:t>
            </w:r>
            <w:r>
              <w:rPr>
                <w:sz w:val="22"/>
              </w:rPr>
              <w:t>&gt;6.0 mEq/L.</w:t>
            </w:r>
          </w:p>
        </w:tc>
        <w:tc>
          <w:tcPr>
            <w:tcW w:w="2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376B" w14:textId="77777777" w:rsidR="00883A00" w:rsidRDefault="00883A00" w:rsidP="00D43B75"/>
        </w:tc>
      </w:tr>
      <w:tr w:rsidR="00883A00" w14:paraId="10A2C2EF" w14:textId="77777777" w:rsidTr="00D43B75">
        <w:trPr>
          <w:trHeight w:val="696"/>
        </w:trPr>
        <w:tc>
          <w:tcPr>
            <w:tcW w:w="2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61C4" w14:textId="77777777" w:rsidR="00883A00" w:rsidRDefault="00883A00" w:rsidP="00D43B75"/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84A7" w14:textId="77777777" w:rsidR="00883A00" w:rsidRDefault="00883A00" w:rsidP="00D43B75">
            <w:pPr>
              <w:spacing w:line="278" w:lineRule="auto"/>
              <w:ind w:left="42" w:right="695" w:hanging="6"/>
            </w:pPr>
            <w:r>
              <w:rPr>
                <w:sz w:val="22"/>
              </w:rPr>
              <w:t xml:space="preserve">- Iniciar o intensificar hemodiálisis </w:t>
            </w:r>
            <w:proofErr w:type="gramStart"/>
            <w:r>
              <w:rPr>
                <w:sz w:val="22"/>
              </w:rPr>
              <w:t xml:space="preserve">en  </w:t>
            </w:r>
            <w:proofErr w:type="spellStart"/>
            <w:r>
              <w:rPr>
                <w:sz w:val="22"/>
              </w:rPr>
              <w:t>hiperkalemia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persistente o severa </w:t>
            </w:r>
            <w:r>
              <w:rPr>
                <w:sz w:val="22"/>
              </w:rPr>
              <w:t xml:space="preserve">(&gt;6.5 mEq/L) no controlada con medidas médicas.- Uso de </w:t>
            </w:r>
            <w:r>
              <w:rPr>
                <w:b/>
                <w:bCs/>
                <w:sz w:val="22"/>
              </w:rPr>
              <w:t xml:space="preserve">diálisis de alto flujo y bicarbonato alto </w:t>
            </w:r>
            <w:r>
              <w:rPr>
                <w:sz w:val="22"/>
              </w:rPr>
              <w:t>para maximizar eliminación de K</w:t>
            </w:r>
            <w:r>
              <w:rPr>
                <w:rFonts w:ascii="Cambria Math" w:eastAsia="Cambria Math" w:hAnsi="Cambria Math" w:cs="Cambria Math"/>
                <w:sz w:val="22"/>
              </w:rPr>
              <w:t>⁺</w:t>
            </w:r>
            <w:r>
              <w:rPr>
                <w:sz w:val="22"/>
              </w:rPr>
              <w:t xml:space="preserve">.- Considerar  </w:t>
            </w:r>
            <w:proofErr w:type="spellStart"/>
            <w:r>
              <w:rPr>
                <w:b/>
                <w:bCs/>
                <w:sz w:val="22"/>
              </w:rPr>
              <w:t>interdialítico</w:t>
            </w:r>
            <w:proofErr w:type="spellEnd"/>
            <w:r>
              <w:rPr>
                <w:b/>
                <w:bCs/>
                <w:sz w:val="22"/>
              </w:rPr>
              <w:t xml:space="preserve"> corto </w:t>
            </w:r>
            <w:r>
              <w:rPr>
                <w:sz w:val="22"/>
              </w:rPr>
              <w:t>en casos recurrentes</w:t>
            </w:r>
          </w:p>
        </w:tc>
        <w:tc>
          <w:tcPr>
            <w:tcW w:w="2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DC99" w14:textId="77777777" w:rsidR="00883A00" w:rsidRDefault="00883A00" w:rsidP="00D43B75"/>
        </w:tc>
      </w:tr>
    </w:tbl>
    <w:p w14:paraId="287088CD" w14:textId="77777777" w:rsidR="00883A00" w:rsidRPr="00FE1AC9" w:rsidRDefault="00883A00" w:rsidP="00883A00">
      <w:pPr>
        <w:rPr>
          <w:szCs w:val="24"/>
        </w:rPr>
      </w:pPr>
      <w:proofErr w:type="gramStart"/>
      <w:r w:rsidRPr="00FE1AC9">
        <w:rPr>
          <w:szCs w:val="24"/>
        </w:rPr>
        <w:t>ANEXO  A</w:t>
      </w:r>
      <w:proofErr w:type="gramEnd"/>
      <w:r w:rsidRPr="00FE1AC9">
        <w:rPr>
          <w:szCs w:val="24"/>
        </w:rPr>
        <w:t xml:space="preserve">1. Indicaciones de manejo y recomendaciones clínicas para </w:t>
      </w:r>
      <w:proofErr w:type="gramStart"/>
      <w:r w:rsidRPr="00FE1AC9">
        <w:rPr>
          <w:szCs w:val="24"/>
        </w:rPr>
        <w:t>el  tratamiento</w:t>
      </w:r>
      <w:proofErr w:type="gramEnd"/>
      <w:r w:rsidRPr="00FE1AC9">
        <w:rPr>
          <w:szCs w:val="24"/>
        </w:rPr>
        <w:t xml:space="preserve"> </w:t>
      </w:r>
      <w:r w:rsidRPr="00FE1AC9">
        <w:rPr>
          <w:szCs w:val="24"/>
        </w:rPr>
        <w:lastRenderedPageBreak/>
        <w:t xml:space="preserve">ambulatorio de la </w:t>
      </w:r>
      <w:proofErr w:type="spellStart"/>
      <w:r w:rsidRPr="00FE1AC9">
        <w:rPr>
          <w:szCs w:val="24"/>
        </w:rPr>
        <w:t>hiperkalemia</w:t>
      </w:r>
      <w:proofErr w:type="spellEnd"/>
      <w:r w:rsidRPr="00FE1AC9">
        <w:rPr>
          <w:szCs w:val="24"/>
        </w:rPr>
        <w:t xml:space="preserve"> crónica en pacientes  con enfermedad renal crónica (ERC) con TFG &lt;30 ml/min/1.73 m²,  basada en referencias bibliográficas </w:t>
      </w:r>
    </w:p>
    <w:p w14:paraId="05C57B8F" w14:textId="0421C185" w:rsidR="00883A00" w:rsidRPr="00FE1AC9" w:rsidRDefault="00883A00" w:rsidP="00BD7E74">
      <w:pPr>
        <w:rPr>
          <w:szCs w:val="24"/>
        </w:rPr>
      </w:pPr>
    </w:p>
    <w:p w14:paraId="1E09B102" w14:textId="74D85B36" w:rsidR="00883A00" w:rsidRDefault="00883A00" w:rsidP="00BD7E74">
      <w:pPr>
        <w:rPr>
          <w:b/>
          <w:bCs/>
          <w:szCs w:val="24"/>
        </w:rPr>
      </w:pPr>
    </w:p>
    <w:p w14:paraId="2B301D61" w14:textId="6FE3E854" w:rsidR="00883A00" w:rsidRDefault="00883A00" w:rsidP="00BD7E74">
      <w:pPr>
        <w:rPr>
          <w:b/>
          <w:bCs/>
          <w:szCs w:val="24"/>
        </w:rPr>
      </w:pPr>
    </w:p>
    <w:tbl>
      <w:tblPr>
        <w:tblW w:w="903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3690"/>
        <w:gridCol w:w="2640"/>
      </w:tblGrid>
      <w:tr w:rsidR="00883A00" w14:paraId="3012D4DB" w14:textId="77777777" w:rsidTr="00D43B75">
        <w:trPr>
          <w:trHeight w:val="900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D01D" w14:textId="77777777" w:rsidR="00883A00" w:rsidRDefault="00883A00" w:rsidP="00D43B75">
            <w:pPr>
              <w:ind w:left="56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Intervención /  </w:t>
            </w:r>
          </w:p>
          <w:p w14:paraId="2F079319" w14:textId="77777777" w:rsidR="00883A00" w:rsidRDefault="00883A00" w:rsidP="00D43B75">
            <w:pPr>
              <w:spacing w:before="52"/>
              <w:ind w:left="56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Recomendación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F725" w14:textId="77777777" w:rsidR="00883A00" w:rsidRDefault="00883A00" w:rsidP="00D43B75">
            <w:pPr>
              <w:ind w:left="41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Detalles clínicos / Justificación</w:t>
            </w:r>
          </w:p>
        </w:tc>
        <w:tc>
          <w:tcPr>
            <w:tcW w:w="26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02591" w14:textId="77777777" w:rsidR="00883A00" w:rsidRDefault="00883A00" w:rsidP="00D43B75">
            <w:pPr>
              <w:ind w:left="41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Referencias  </w:t>
            </w:r>
          </w:p>
          <w:p w14:paraId="15DDE2AD" w14:textId="77777777" w:rsidR="00883A00" w:rsidRDefault="00883A00" w:rsidP="00D43B75">
            <w:pPr>
              <w:spacing w:before="52"/>
              <w:ind w:left="41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Bibliográficas </w:t>
            </w:r>
          </w:p>
          <w:p w14:paraId="7C4DC6C2" w14:textId="77777777" w:rsidR="00883A00" w:rsidRDefault="00883A00" w:rsidP="00D43B75">
            <w:pPr>
              <w:spacing w:before="642" w:line="279" w:lineRule="auto"/>
              <w:ind w:left="31" w:right="132"/>
            </w:pPr>
            <w:proofErr w:type="spellStart"/>
            <w:r>
              <w:rPr>
                <w:sz w:val="22"/>
              </w:rPr>
              <w:t>St</w:t>
            </w:r>
            <w:proofErr w:type="spellEnd"/>
            <w:r>
              <w:rPr>
                <w:sz w:val="22"/>
              </w:rPr>
              <w:t xml:space="preserve">-Jules DE et al. </w:t>
            </w:r>
            <w:proofErr w:type="spellStart"/>
            <w:proofErr w:type="gramStart"/>
            <w:r>
              <w:rPr>
                <w:i/>
                <w:iCs/>
                <w:sz w:val="22"/>
              </w:rPr>
              <w:t>Nutr</w:t>
            </w:r>
            <w:proofErr w:type="spellEnd"/>
            <w:r>
              <w:rPr>
                <w:i/>
                <w:iCs/>
                <w:sz w:val="22"/>
              </w:rPr>
              <w:t xml:space="preserve">  </w:t>
            </w:r>
            <w:proofErr w:type="spellStart"/>
            <w:r>
              <w:rPr>
                <w:i/>
                <w:iCs/>
                <w:sz w:val="22"/>
              </w:rPr>
              <w:t>Rev</w:t>
            </w:r>
            <w:proofErr w:type="spellEnd"/>
            <w:proofErr w:type="gramEnd"/>
            <w:r>
              <w:rPr>
                <w:sz w:val="22"/>
              </w:rPr>
              <w:t xml:space="preserve">, 2022; KDOQI  Nutrición 2020. </w:t>
            </w:r>
          </w:p>
          <w:p w14:paraId="4ECEFE5B" w14:textId="77777777" w:rsidR="00883A00" w:rsidRDefault="00883A00" w:rsidP="00D43B75">
            <w:pPr>
              <w:spacing w:before="759" w:line="279" w:lineRule="auto"/>
              <w:ind w:left="31" w:right="131" w:firstLine="11"/>
            </w:pPr>
          </w:p>
          <w:p w14:paraId="7600C8E4" w14:textId="77777777" w:rsidR="00883A00" w:rsidRDefault="00883A00" w:rsidP="00D43B75">
            <w:pPr>
              <w:spacing w:before="759" w:line="279" w:lineRule="auto"/>
              <w:ind w:left="31" w:right="131" w:firstLine="11"/>
            </w:pPr>
            <w:proofErr w:type="spellStart"/>
            <w:r>
              <w:rPr>
                <w:sz w:val="22"/>
              </w:rPr>
              <w:t>Fravel</w:t>
            </w:r>
            <w:proofErr w:type="spellEnd"/>
            <w:r>
              <w:rPr>
                <w:sz w:val="22"/>
              </w:rPr>
              <w:t xml:space="preserve"> MA et al. </w:t>
            </w:r>
            <w:proofErr w:type="spellStart"/>
            <w:proofErr w:type="gramStart"/>
            <w:r w:rsidRPr="00AE415D">
              <w:rPr>
                <w:i/>
                <w:iCs/>
                <w:sz w:val="22"/>
                <w:lang w:val="es-CO"/>
              </w:rPr>
              <w:t>Curr</w:t>
            </w:r>
            <w:proofErr w:type="spellEnd"/>
            <w:r w:rsidRPr="00AE415D">
              <w:rPr>
                <w:i/>
                <w:iCs/>
                <w:sz w:val="22"/>
                <w:lang w:val="es-CO"/>
              </w:rPr>
              <w:t xml:space="preserve">  </w:t>
            </w:r>
            <w:proofErr w:type="spellStart"/>
            <w:r w:rsidRPr="00AE415D">
              <w:rPr>
                <w:i/>
                <w:iCs/>
                <w:sz w:val="22"/>
                <w:lang w:val="es-CO"/>
              </w:rPr>
              <w:t>Hypertens</w:t>
            </w:r>
            <w:proofErr w:type="spellEnd"/>
            <w:proofErr w:type="gramEnd"/>
            <w:r w:rsidRPr="00AE415D">
              <w:rPr>
                <w:i/>
                <w:iCs/>
                <w:sz w:val="22"/>
                <w:lang w:val="es-CO"/>
              </w:rPr>
              <w:t xml:space="preserve"> </w:t>
            </w:r>
            <w:proofErr w:type="spellStart"/>
            <w:r w:rsidRPr="00AE415D">
              <w:rPr>
                <w:i/>
                <w:iCs/>
                <w:sz w:val="22"/>
                <w:lang w:val="es-CO"/>
              </w:rPr>
              <w:t>Rep</w:t>
            </w:r>
            <w:proofErr w:type="spellEnd"/>
            <w:r w:rsidRPr="00AE415D">
              <w:rPr>
                <w:sz w:val="22"/>
                <w:lang w:val="es-CO"/>
              </w:rPr>
              <w:t xml:space="preserve">, 2023;  </w:t>
            </w:r>
            <w:proofErr w:type="spellStart"/>
            <w:r w:rsidRPr="00AE415D">
              <w:rPr>
                <w:sz w:val="22"/>
                <w:lang w:val="es-CO"/>
              </w:rPr>
              <w:t>Kitai</w:t>
            </w:r>
            <w:proofErr w:type="spellEnd"/>
            <w:r w:rsidRPr="00AE415D">
              <w:rPr>
                <w:sz w:val="22"/>
                <w:lang w:val="es-CO"/>
              </w:rPr>
              <w:t xml:space="preserve"> T et al. </w:t>
            </w:r>
            <w:proofErr w:type="spellStart"/>
            <w:r>
              <w:rPr>
                <w:i/>
                <w:iCs/>
                <w:sz w:val="22"/>
              </w:rPr>
              <w:t>Circ</w:t>
            </w:r>
            <w:proofErr w:type="spellEnd"/>
            <w:r>
              <w:rPr>
                <w:i/>
                <w:iCs/>
                <w:sz w:val="22"/>
              </w:rPr>
              <w:t xml:space="preserve"> J</w:t>
            </w:r>
            <w:r>
              <w:rPr>
                <w:sz w:val="22"/>
              </w:rPr>
              <w:t xml:space="preserve">,  2025; KDIGO 2024. </w:t>
            </w:r>
          </w:p>
          <w:p w14:paraId="1727B8E2" w14:textId="77777777" w:rsidR="00883A00" w:rsidRDefault="00883A00" w:rsidP="00D43B75">
            <w:pPr>
              <w:spacing w:before="452"/>
              <w:ind w:left="42"/>
            </w:pPr>
            <w:r>
              <w:rPr>
                <w:sz w:val="22"/>
              </w:rPr>
              <w:t xml:space="preserve">Palmer BF et al.  </w:t>
            </w:r>
          </w:p>
          <w:p w14:paraId="69EC78DC" w14:textId="77777777" w:rsidR="00883A00" w:rsidRDefault="00883A00" w:rsidP="00D43B75">
            <w:pPr>
              <w:spacing w:before="49"/>
              <w:ind w:left="31"/>
              <w:rPr>
                <w:i/>
                <w:iCs/>
              </w:rPr>
            </w:pPr>
            <w:proofErr w:type="spellStart"/>
            <w:r>
              <w:rPr>
                <w:i/>
                <w:iCs/>
                <w:sz w:val="22"/>
              </w:rPr>
              <w:t>Nephrol</w:t>
            </w:r>
            <w:proofErr w:type="spellEnd"/>
            <w:r>
              <w:rPr>
                <w:i/>
                <w:iCs/>
                <w:sz w:val="22"/>
              </w:rPr>
              <w:t xml:space="preserve"> Dial  </w:t>
            </w:r>
          </w:p>
          <w:p w14:paraId="2FE58A0E" w14:textId="77777777" w:rsidR="00883A00" w:rsidRDefault="00883A00" w:rsidP="00D43B75">
            <w:pPr>
              <w:spacing w:before="51"/>
              <w:ind w:left="42"/>
            </w:pPr>
            <w:proofErr w:type="spellStart"/>
            <w:r>
              <w:rPr>
                <w:i/>
                <w:iCs/>
                <w:sz w:val="22"/>
              </w:rPr>
              <w:t>Transplant</w:t>
            </w:r>
            <w:proofErr w:type="spellEnd"/>
            <w:r>
              <w:rPr>
                <w:sz w:val="22"/>
              </w:rPr>
              <w:t xml:space="preserve">, 2024;  </w:t>
            </w:r>
          </w:p>
          <w:p w14:paraId="13EE17C6" w14:textId="77777777" w:rsidR="00883A00" w:rsidRDefault="00883A00" w:rsidP="00D43B75">
            <w:pPr>
              <w:spacing w:before="51" w:line="278" w:lineRule="auto"/>
              <w:ind w:left="31" w:right="156" w:firstLine="11"/>
            </w:pPr>
            <w:r>
              <w:rPr>
                <w:sz w:val="22"/>
              </w:rPr>
              <w:t xml:space="preserve">Palmer BF. </w:t>
            </w:r>
            <w:r>
              <w:rPr>
                <w:i/>
                <w:iCs/>
                <w:sz w:val="22"/>
              </w:rPr>
              <w:t xml:space="preserve">Mayo </w:t>
            </w:r>
            <w:proofErr w:type="gramStart"/>
            <w:r>
              <w:rPr>
                <w:i/>
                <w:iCs/>
                <w:sz w:val="22"/>
              </w:rPr>
              <w:t xml:space="preserve">Clin  </w:t>
            </w:r>
            <w:proofErr w:type="spellStart"/>
            <w:r>
              <w:rPr>
                <w:i/>
                <w:iCs/>
                <w:sz w:val="22"/>
              </w:rPr>
              <w:t>Proc</w:t>
            </w:r>
            <w:proofErr w:type="spellEnd"/>
            <w:proofErr w:type="gramEnd"/>
            <w:r>
              <w:rPr>
                <w:sz w:val="22"/>
              </w:rPr>
              <w:t>, 2020.</w:t>
            </w:r>
          </w:p>
        </w:tc>
      </w:tr>
      <w:tr w:rsidR="00883A00" w14:paraId="6F9D01CA" w14:textId="77777777" w:rsidTr="00D43B75">
        <w:trPr>
          <w:trHeight w:val="1826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ABCD" w14:textId="77777777" w:rsidR="00883A00" w:rsidRDefault="00883A00" w:rsidP="00D43B75">
            <w:pPr>
              <w:spacing w:line="280" w:lineRule="auto"/>
              <w:ind w:left="52" w:right="22" w:firstLine="3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1. Educación </w:t>
            </w:r>
            <w:proofErr w:type="gramStart"/>
            <w:r>
              <w:rPr>
                <w:b/>
                <w:bCs/>
                <w:sz w:val="22"/>
              </w:rPr>
              <w:t>nutricional  individualizada</w:t>
            </w:r>
            <w:proofErr w:type="gramEnd"/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B3F0" w14:textId="77777777" w:rsidR="00883A00" w:rsidRDefault="00883A00" w:rsidP="00D43B75">
            <w:pPr>
              <w:spacing w:line="279" w:lineRule="auto"/>
              <w:ind w:left="25" w:right="41" w:firstLine="9"/>
            </w:pPr>
            <w:r>
              <w:rPr>
                <w:sz w:val="22"/>
              </w:rPr>
              <w:t>- Limitar K</w:t>
            </w:r>
            <w:r>
              <w:rPr>
                <w:rFonts w:ascii="Cambria Math" w:eastAsia="Cambria Math" w:hAnsi="Cambria Math" w:cs="Cambria Math"/>
                <w:sz w:val="22"/>
              </w:rPr>
              <w:t xml:space="preserve">⁺ </w:t>
            </w:r>
            <w:r>
              <w:rPr>
                <w:sz w:val="22"/>
              </w:rPr>
              <w:t>dietético (2–3 g/día).</w:t>
            </w:r>
          </w:p>
          <w:p w14:paraId="781EB734" w14:textId="77777777" w:rsidR="00883A00" w:rsidRDefault="00883A00" w:rsidP="00D43B75">
            <w:pPr>
              <w:spacing w:line="279" w:lineRule="auto"/>
              <w:ind w:left="25" w:right="41" w:firstLine="9"/>
            </w:pPr>
            <w:r>
              <w:rPr>
                <w:sz w:val="22"/>
              </w:rPr>
              <w:t xml:space="preserve">- </w:t>
            </w:r>
            <w:proofErr w:type="gramStart"/>
            <w:r>
              <w:rPr>
                <w:sz w:val="22"/>
              </w:rPr>
              <w:t>Evitar  alimentos</w:t>
            </w:r>
            <w:proofErr w:type="gramEnd"/>
            <w:r>
              <w:rPr>
                <w:sz w:val="22"/>
              </w:rPr>
              <w:t xml:space="preserve"> y sales con potasio oculto.</w:t>
            </w:r>
          </w:p>
          <w:p w14:paraId="4D674EDC" w14:textId="77777777" w:rsidR="00883A00" w:rsidRDefault="00883A00" w:rsidP="00D43B75">
            <w:pPr>
              <w:spacing w:line="279" w:lineRule="auto"/>
              <w:ind w:left="25" w:right="41" w:firstLine="9"/>
            </w:pPr>
            <w:r>
              <w:rPr>
                <w:sz w:val="22"/>
              </w:rPr>
              <w:t>- Supervisión por nutricionista renal.</w:t>
            </w:r>
          </w:p>
          <w:p w14:paraId="0F492943" w14:textId="77777777" w:rsidR="00883A00" w:rsidRDefault="00883A00" w:rsidP="00D43B75">
            <w:pPr>
              <w:spacing w:line="279" w:lineRule="auto"/>
              <w:ind w:left="25" w:right="41" w:firstLine="9"/>
            </w:pPr>
            <w:r>
              <w:rPr>
                <w:sz w:val="22"/>
              </w:rPr>
              <w:t>- Ajustar según etiología (</w:t>
            </w:r>
            <w:proofErr w:type="gramStart"/>
            <w:r>
              <w:rPr>
                <w:sz w:val="22"/>
              </w:rPr>
              <w:t>acidosis,  diabetes</w:t>
            </w:r>
            <w:proofErr w:type="gramEnd"/>
            <w:r>
              <w:rPr>
                <w:sz w:val="22"/>
              </w:rPr>
              <w:t>, etc.).</w:t>
            </w:r>
          </w:p>
        </w:tc>
        <w:tc>
          <w:tcPr>
            <w:tcW w:w="2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B2EE" w14:textId="77777777" w:rsidR="00883A00" w:rsidRDefault="00883A00" w:rsidP="00D43B75"/>
        </w:tc>
      </w:tr>
      <w:tr w:rsidR="00883A00" w14:paraId="44373D40" w14:textId="77777777" w:rsidTr="00D43B75">
        <w:trPr>
          <w:trHeight w:val="1826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A9E76" w14:textId="77777777" w:rsidR="00883A00" w:rsidRDefault="00883A00" w:rsidP="00D43B75">
            <w:pPr>
              <w:spacing w:line="280" w:lineRule="auto"/>
              <w:ind w:left="52" w:right="395" w:hanging="5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2. Mantenimiento </w:t>
            </w:r>
            <w:proofErr w:type="gramStart"/>
            <w:r>
              <w:rPr>
                <w:b/>
                <w:bCs/>
                <w:sz w:val="22"/>
              </w:rPr>
              <w:t xml:space="preserve">de  </w:t>
            </w:r>
            <w:proofErr w:type="spellStart"/>
            <w:r>
              <w:rPr>
                <w:b/>
                <w:bCs/>
                <w:sz w:val="22"/>
              </w:rPr>
              <w:t>iSRAA</w:t>
            </w:r>
            <w:proofErr w:type="spellEnd"/>
            <w:proofErr w:type="gramEnd"/>
            <w:r>
              <w:rPr>
                <w:b/>
                <w:bCs/>
                <w:sz w:val="22"/>
              </w:rPr>
              <w:t xml:space="preserve"> si es posible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0D47" w14:textId="77777777" w:rsidR="00883A00" w:rsidRDefault="00883A00" w:rsidP="00D43B75">
            <w:pPr>
              <w:spacing w:line="279" w:lineRule="auto"/>
              <w:ind w:left="34" w:right="63"/>
            </w:pPr>
            <w:r>
              <w:rPr>
                <w:sz w:val="22"/>
              </w:rPr>
              <w:t>- No suspender IECA/ARA II si K</w:t>
            </w:r>
            <w:r>
              <w:rPr>
                <w:rFonts w:ascii="Cambria Math" w:eastAsia="Cambria Math" w:hAnsi="Cambria Math" w:cs="Cambria Math"/>
                <w:sz w:val="22"/>
              </w:rPr>
              <w:t xml:space="preserve">⁺ </w:t>
            </w:r>
            <w:r>
              <w:rPr>
                <w:sz w:val="22"/>
              </w:rPr>
              <w:t>&lt;</w:t>
            </w:r>
            <w:proofErr w:type="gramStart"/>
            <w:r>
              <w:rPr>
                <w:sz w:val="22"/>
              </w:rPr>
              <w:t>6.0  mEq</w:t>
            </w:r>
            <w:proofErr w:type="gramEnd"/>
            <w:r>
              <w:rPr>
                <w:sz w:val="22"/>
              </w:rPr>
              <w:t xml:space="preserve">/L y puede manejarse.- Beneficio  cardiovascular y </w:t>
            </w:r>
            <w:proofErr w:type="spellStart"/>
            <w:r>
              <w:rPr>
                <w:sz w:val="22"/>
              </w:rPr>
              <w:t>renoprotector</w:t>
            </w:r>
            <w:proofErr w:type="spellEnd"/>
            <w:r>
              <w:rPr>
                <w:sz w:val="22"/>
              </w:rPr>
              <w:t xml:space="preserve">  significativo.- Preferir ajuste de dosis o  uso de quelantes.</w:t>
            </w:r>
          </w:p>
        </w:tc>
        <w:tc>
          <w:tcPr>
            <w:tcW w:w="2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032BC" w14:textId="77777777" w:rsidR="00883A00" w:rsidRDefault="00883A00" w:rsidP="00D43B75"/>
        </w:tc>
      </w:tr>
      <w:tr w:rsidR="00883A00" w14:paraId="6CB582FF" w14:textId="77777777" w:rsidTr="00D43B75">
        <w:trPr>
          <w:trHeight w:val="1803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89E8" w14:textId="77777777" w:rsidR="00883A00" w:rsidRDefault="00883A00" w:rsidP="00D43B75">
            <w:pPr>
              <w:spacing w:line="280" w:lineRule="auto"/>
              <w:ind w:left="54" w:right="179" w:hanging="7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3. Uso de quelantes </w:t>
            </w:r>
            <w:proofErr w:type="gramStart"/>
            <w:r>
              <w:rPr>
                <w:b/>
                <w:bCs/>
                <w:sz w:val="22"/>
              </w:rPr>
              <w:t>de  potasio</w:t>
            </w:r>
            <w:proofErr w:type="gramEnd"/>
            <w:r>
              <w:rPr>
                <w:b/>
                <w:bCs/>
                <w:sz w:val="22"/>
              </w:rPr>
              <w:t xml:space="preserve"> de nueva  </w:t>
            </w:r>
          </w:p>
          <w:p w14:paraId="1EF851F7" w14:textId="77777777" w:rsidR="00883A00" w:rsidRDefault="00883A00" w:rsidP="00D43B75">
            <w:pPr>
              <w:spacing w:before="14"/>
              <w:ind w:left="45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generación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D2B8D" w14:textId="77777777" w:rsidR="00883A00" w:rsidRDefault="00883A00" w:rsidP="00D43B75">
            <w:pPr>
              <w:spacing w:line="279" w:lineRule="auto"/>
              <w:ind w:left="25" w:right="96" w:firstLine="9"/>
            </w:pPr>
            <w:r>
              <w:rPr>
                <w:sz w:val="22"/>
              </w:rPr>
              <w:t xml:space="preserve">- SZC </w:t>
            </w:r>
            <w:r>
              <w:rPr>
                <w:b/>
                <w:bCs/>
                <w:sz w:val="22"/>
              </w:rPr>
              <w:t xml:space="preserve">LOKELMA </w:t>
            </w:r>
            <w:r>
              <w:rPr>
                <w:sz w:val="22"/>
              </w:rPr>
              <w:t>(10 g 1–3 veces/día</w:t>
            </w:r>
            <w:proofErr w:type="gramStart"/>
            <w:r>
              <w:rPr>
                <w:sz w:val="22"/>
              </w:rPr>
              <w:t>)./</w:t>
            </w:r>
            <w:proofErr w:type="gram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Patiromer</w:t>
            </w:r>
            <w:proofErr w:type="spellEnd"/>
            <w:r>
              <w:rPr>
                <w:sz w:val="22"/>
              </w:rPr>
              <w:t xml:space="preserve"> (dosis inicial: 8.4 g/día) </w:t>
            </w:r>
          </w:p>
          <w:p w14:paraId="722C8A40" w14:textId="77777777" w:rsidR="00883A00" w:rsidRDefault="00883A00" w:rsidP="00D43B75">
            <w:pPr>
              <w:spacing w:line="279" w:lineRule="auto"/>
              <w:ind w:left="25" w:right="96" w:firstLine="9"/>
            </w:pPr>
            <w:r>
              <w:rPr>
                <w:sz w:val="22"/>
              </w:rPr>
              <w:t xml:space="preserve">- Alternativa efectiva y segura </w:t>
            </w:r>
            <w:proofErr w:type="gramStart"/>
            <w:r>
              <w:rPr>
                <w:sz w:val="22"/>
              </w:rPr>
              <w:t>para  control</w:t>
            </w:r>
            <w:proofErr w:type="gramEnd"/>
            <w:r>
              <w:rPr>
                <w:sz w:val="22"/>
              </w:rPr>
              <w:t xml:space="preserve"> crónico.</w:t>
            </w:r>
          </w:p>
          <w:p w14:paraId="31C0A4C6" w14:textId="77777777" w:rsidR="00883A00" w:rsidRDefault="00883A00" w:rsidP="00D43B75">
            <w:pPr>
              <w:spacing w:line="279" w:lineRule="auto"/>
              <w:ind w:left="25" w:right="96" w:firstLine="9"/>
            </w:pPr>
            <w:r>
              <w:rPr>
                <w:sz w:val="22"/>
              </w:rPr>
              <w:t xml:space="preserve">- Mejora adherencia </w:t>
            </w:r>
            <w:proofErr w:type="gramStart"/>
            <w:r>
              <w:rPr>
                <w:sz w:val="22"/>
              </w:rPr>
              <w:t>al  tratamiento</w:t>
            </w:r>
            <w:proofErr w:type="gramEnd"/>
            <w:r>
              <w:rPr>
                <w:sz w:val="22"/>
              </w:rPr>
              <w:t xml:space="preserve"> y evita hospitalizaciones.</w:t>
            </w:r>
          </w:p>
        </w:tc>
        <w:tc>
          <w:tcPr>
            <w:tcW w:w="2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0C95" w14:textId="77777777" w:rsidR="00883A00" w:rsidRDefault="00883A00" w:rsidP="00D43B75"/>
        </w:tc>
      </w:tr>
    </w:tbl>
    <w:p w14:paraId="1554D368" w14:textId="723EFE0B" w:rsidR="00883A00" w:rsidRDefault="00883A00" w:rsidP="00BD7E74">
      <w:pPr>
        <w:rPr>
          <w:b/>
          <w:bCs/>
          <w:szCs w:val="24"/>
        </w:rPr>
      </w:pPr>
    </w:p>
    <w:tbl>
      <w:tblPr>
        <w:tblW w:w="903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3690"/>
        <w:gridCol w:w="2640"/>
      </w:tblGrid>
      <w:tr w:rsidR="00883A00" w14:paraId="464AE5AF" w14:textId="77777777" w:rsidTr="00D43B75">
        <w:trPr>
          <w:trHeight w:val="900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2EBDB" w14:textId="77777777" w:rsidR="00883A00" w:rsidRDefault="00883A00" w:rsidP="00D43B75">
            <w:pPr>
              <w:ind w:left="56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Intervención /  </w:t>
            </w:r>
          </w:p>
          <w:p w14:paraId="0B5F2381" w14:textId="77777777" w:rsidR="00883A00" w:rsidRDefault="00883A00" w:rsidP="00D43B75">
            <w:pPr>
              <w:spacing w:before="52"/>
              <w:ind w:left="56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Recomendación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B18D" w14:textId="77777777" w:rsidR="00883A00" w:rsidRDefault="00883A00" w:rsidP="00D43B75">
            <w:pPr>
              <w:ind w:left="41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Detalles clínicos / Justificación</w:t>
            </w:r>
          </w:p>
        </w:tc>
        <w:tc>
          <w:tcPr>
            <w:tcW w:w="26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55612" w14:textId="77777777" w:rsidR="00883A00" w:rsidRDefault="00883A00" w:rsidP="00D43B75">
            <w:pPr>
              <w:ind w:left="41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Referencias  </w:t>
            </w:r>
          </w:p>
          <w:p w14:paraId="56A3E74D" w14:textId="77777777" w:rsidR="00883A00" w:rsidRDefault="00883A00" w:rsidP="00D43B75">
            <w:pPr>
              <w:spacing w:before="52"/>
              <w:ind w:left="41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Bibliográficas </w:t>
            </w:r>
          </w:p>
          <w:p w14:paraId="68ED4B10" w14:textId="77777777" w:rsidR="00883A00" w:rsidRDefault="00883A00" w:rsidP="00D43B75">
            <w:pPr>
              <w:spacing w:before="642" w:line="279" w:lineRule="auto"/>
              <w:ind w:left="31" w:right="132"/>
            </w:pPr>
            <w:proofErr w:type="spellStart"/>
            <w:r>
              <w:rPr>
                <w:sz w:val="22"/>
              </w:rPr>
              <w:t>St</w:t>
            </w:r>
            <w:proofErr w:type="spellEnd"/>
            <w:r>
              <w:rPr>
                <w:sz w:val="22"/>
              </w:rPr>
              <w:t xml:space="preserve">-Jules DE et al. </w:t>
            </w:r>
            <w:proofErr w:type="spellStart"/>
            <w:proofErr w:type="gramStart"/>
            <w:r>
              <w:rPr>
                <w:i/>
                <w:iCs/>
                <w:sz w:val="22"/>
              </w:rPr>
              <w:t>Nutr</w:t>
            </w:r>
            <w:proofErr w:type="spellEnd"/>
            <w:r>
              <w:rPr>
                <w:i/>
                <w:iCs/>
                <w:sz w:val="22"/>
              </w:rPr>
              <w:t xml:space="preserve">  </w:t>
            </w:r>
            <w:proofErr w:type="spellStart"/>
            <w:r>
              <w:rPr>
                <w:i/>
                <w:iCs/>
                <w:sz w:val="22"/>
              </w:rPr>
              <w:t>Rev</w:t>
            </w:r>
            <w:proofErr w:type="spellEnd"/>
            <w:proofErr w:type="gramEnd"/>
            <w:r>
              <w:rPr>
                <w:sz w:val="22"/>
              </w:rPr>
              <w:t xml:space="preserve">, 2022; KDOQI  Nutrición 2020. </w:t>
            </w:r>
          </w:p>
          <w:p w14:paraId="726599B3" w14:textId="77777777" w:rsidR="00883A00" w:rsidRDefault="00883A00" w:rsidP="00D43B75">
            <w:pPr>
              <w:spacing w:before="759" w:line="279" w:lineRule="auto"/>
              <w:ind w:left="31" w:right="131" w:firstLine="11"/>
            </w:pPr>
          </w:p>
          <w:p w14:paraId="3EC64FA7" w14:textId="77777777" w:rsidR="00883A00" w:rsidRDefault="00883A00" w:rsidP="00D43B75">
            <w:pPr>
              <w:spacing w:before="759" w:line="279" w:lineRule="auto"/>
              <w:ind w:left="31" w:right="131" w:firstLine="11"/>
            </w:pPr>
            <w:proofErr w:type="spellStart"/>
            <w:r>
              <w:rPr>
                <w:sz w:val="22"/>
              </w:rPr>
              <w:lastRenderedPageBreak/>
              <w:t>Fravel</w:t>
            </w:r>
            <w:proofErr w:type="spellEnd"/>
            <w:r>
              <w:rPr>
                <w:sz w:val="22"/>
              </w:rPr>
              <w:t xml:space="preserve"> MA et al. </w:t>
            </w:r>
            <w:proofErr w:type="spellStart"/>
            <w:proofErr w:type="gramStart"/>
            <w:r w:rsidRPr="00AE415D">
              <w:rPr>
                <w:i/>
                <w:iCs/>
                <w:sz w:val="22"/>
                <w:lang w:val="es-CO"/>
              </w:rPr>
              <w:t>Curr</w:t>
            </w:r>
            <w:proofErr w:type="spellEnd"/>
            <w:r w:rsidRPr="00AE415D">
              <w:rPr>
                <w:i/>
                <w:iCs/>
                <w:sz w:val="22"/>
                <w:lang w:val="es-CO"/>
              </w:rPr>
              <w:t xml:space="preserve">  </w:t>
            </w:r>
            <w:proofErr w:type="spellStart"/>
            <w:r w:rsidRPr="00AE415D">
              <w:rPr>
                <w:i/>
                <w:iCs/>
                <w:sz w:val="22"/>
                <w:lang w:val="es-CO"/>
              </w:rPr>
              <w:t>Hypertens</w:t>
            </w:r>
            <w:proofErr w:type="spellEnd"/>
            <w:proofErr w:type="gramEnd"/>
            <w:r w:rsidRPr="00AE415D">
              <w:rPr>
                <w:i/>
                <w:iCs/>
                <w:sz w:val="22"/>
                <w:lang w:val="es-CO"/>
              </w:rPr>
              <w:t xml:space="preserve"> </w:t>
            </w:r>
            <w:proofErr w:type="spellStart"/>
            <w:r w:rsidRPr="00AE415D">
              <w:rPr>
                <w:i/>
                <w:iCs/>
                <w:sz w:val="22"/>
                <w:lang w:val="es-CO"/>
              </w:rPr>
              <w:t>Rep</w:t>
            </w:r>
            <w:proofErr w:type="spellEnd"/>
            <w:r w:rsidRPr="00AE415D">
              <w:rPr>
                <w:sz w:val="22"/>
                <w:lang w:val="es-CO"/>
              </w:rPr>
              <w:t xml:space="preserve">, 2023;  </w:t>
            </w:r>
            <w:proofErr w:type="spellStart"/>
            <w:r w:rsidRPr="00AE415D">
              <w:rPr>
                <w:sz w:val="22"/>
                <w:lang w:val="es-CO"/>
              </w:rPr>
              <w:t>Kitai</w:t>
            </w:r>
            <w:proofErr w:type="spellEnd"/>
            <w:r w:rsidRPr="00AE415D">
              <w:rPr>
                <w:sz w:val="22"/>
                <w:lang w:val="es-CO"/>
              </w:rPr>
              <w:t xml:space="preserve"> T et al. </w:t>
            </w:r>
            <w:proofErr w:type="spellStart"/>
            <w:r>
              <w:rPr>
                <w:i/>
                <w:iCs/>
                <w:sz w:val="22"/>
              </w:rPr>
              <w:t>Circ</w:t>
            </w:r>
            <w:proofErr w:type="spellEnd"/>
            <w:r>
              <w:rPr>
                <w:i/>
                <w:iCs/>
                <w:sz w:val="22"/>
              </w:rPr>
              <w:t xml:space="preserve"> J</w:t>
            </w:r>
            <w:r>
              <w:rPr>
                <w:sz w:val="22"/>
              </w:rPr>
              <w:t xml:space="preserve">,  2025; KDIGO 2024. </w:t>
            </w:r>
          </w:p>
          <w:p w14:paraId="58EA9B99" w14:textId="77777777" w:rsidR="00883A00" w:rsidRDefault="00883A00" w:rsidP="00D43B75">
            <w:pPr>
              <w:spacing w:before="452"/>
              <w:ind w:left="42"/>
            </w:pPr>
            <w:r>
              <w:rPr>
                <w:sz w:val="22"/>
              </w:rPr>
              <w:t xml:space="preserve">Palmer BF et al.  </w:t>
            </w:r>
          </w:p>
          <w:p w14:paraId="3B6025EF" w14:textId="77777777" w:rsidR="00883A00" w:rsidRDefault="00883A00" w:rsidP="00D43B75">
            <w:pPr>
              <w:spacing w:before="49"/>
              <w:ind w:left="31"/>
              <w:rPr>
                <w:i/>
                <w:iCs/>
              </w:rPr>
            </w:pPr>
            <w:proofErr w:type="spellStart"/>
            <w:r>
              <w:rPr>
                <w:i/>
                <w:iCs/>
                <w:sz w:val="22"/>
              </w:rPr>
              <w:t>Nephrol</w:t>
            </w:r>
            <w:proofErr w:type="spellEnd"/>
            <w:r>
              <w:rPr>
                <w:i/>
                <w:iCs/>
                <w:sz w:val="22"/>
              </w:rPr>
              <w:t xml:space="preserve"> Dial  </w:t>
            </w:r>
          </w:p>
          <w:p w14:paraId="729C0422" w14:textId="77777777" w:rsidR="00883A00" w:rsidRDefault="00883A00" w:rsidP="00D43B75">
            <w:pPr>
              <w:spacing w:before="51"/>
              <w:ind w:left="42"/>
            </w:pPr>
            <w:proofErr w:type="spellStart"/>
            <w:r>
              <w:rPr>
                <w:i/>
                <w:iCs/>
                <w:sz w:val="22"/>
              </w:rPr>
              <w:t>Transplant</w:t>
            </w:r>
            <w:proofErr w:type="spellEnd"/>
            <w:r>
              <w:rPr>
                <w:sz w:val="22"/>
              </w:rPr>
              <w:t xml:space="preserve">, 2024;  </w:t>
            </w:r>
          </w:p>
          <w:p w14:paraId="66578309" w14:textId="77777777" w:rsidR="00883A00" w:rsidRDefault="00883A00" w:rsidP="00D43B75">
            <w:pPr>
              <w:spacing w:before="51" w:line="278" w:lineRule="auto"/>
              <w:ind w:left="31" w:right="156" w:firstLine="11"/>
            </w:pPr>
            <w:r>
              <w:rPr>
                <w:sz w:val="22"/>
              </w:rPr>
              <w:t xml:space="preserve">Palmer BF. </w:t>
            </w:r>
            <w:r>
              <w:rPr>
                <w:i/>
                <w:iCs/>
                <w:sz w:val="22"/>
              </w:rPr>
              <w:t xml:space="preserve">Mayo </w:t>
            </w:r>
            <w:proofErr w:type="gramStart"/>
            <w:r>
              <w:rPr>
                <w:i/>
                <w:iCs/>
                <w:sz w:val="22"/>
              </w:rPr>
              <w:t xml:space="preserve">Clin  </w:t>
            </w:r>
            <w:proofErr w:type="spellStart"/>
            <w:r>
              <w:rPr>
                <w:i/>
                <w:iCs/>
                <w:sz w:val="22"/>
              </w:rPr>
              <w:t>Proc</w:t>
            </w:r>
            <w:proofErr w:type="spellEnd"/>
            <w:proofErr w:type="gramEnd"/>
            <w:r>
              <w:rPr>
                <w:sz w:val="22"/>
              </w:rPr>
              <w:t>, 2020.</w:t>
            </w:r>
          </w:p>
        </w:tc>
      </w:tr>
      <w:tr w:rsidR="00883A00" w14:paraId="22F9F97B" w14:textId="77777777" w:rsidTr="00D43B75">
        <w:trPr>
          <w:trHeight w:val="1826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3641" w14:textId="77777777" w:rsidR="00883A00" w:rsidRDefault="00883A00" w:rsidP="00D43B75">
            <w:pPr>
              <w:spacing w:line="280" w:lineRule="auto"/>
              <w:ind w:left="52" w:right="22" w:firstLine="3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1. Educación </w:t>
            </w:r>
            <w:proofErr w:type="gramStart"/>
            <w:r>
              <w:rPr>
                <w:b/>
                <w:bCs/>
                <w:sz w:val="22"/>
              </w:rPr>
              <w:t>nutricional  individualizada</w:t>
            </w:r>
            <w:proofErr w:type="gramEnd"/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20A0" w14:textId="77777777" w:rsidR="00883A00" w:rsidRDefault="00883A00" w:rsidP="00D43B75">
            <w:pPr>
              <w:spacing w:line="279" w:lineRule="auto"/>
              <w:ind w:left="25" w:right="41" w:firstLine="9"/>
            </w:pPr>
            <w:r>
              <w:rPr>
                <w:sz w:val="22"/>
              </w:rPr>
              <w:t>- Limitar K</w:t>
            </w:r>
            <w:r>
              <w:rPr>
                <w:rFonts w:ascii="Cambria Math" w:eastAsia="Cambria Math" w:hAnsi="Cambria Math" w:cs="Cambria Math"/>
                <w:sz w:val="22"/>
              </w:rPr>
              <w:t xml:space="preserve">⁺ </w:t>
            </w:r>
            <w:r>
              <w:rPr>
                <w:sz w:val="22"/>
              </w:rPr>
              <w:t>dietético (2–3 g/día).</w:t>
            </w:r>
          </w:p>
          <w:p w14:paraId="465058C4" w14:textId="77777777" w:rsidR="00883A00" w:rsidRDefault="00883A00" w:rsidP="00D43B75">
            <w:pPr>
              <w:spacing w:line="279" w:lineRule="auto"/>
              <w:ind w:left="25" w:right="41" w:firstLine="9"/>
            </w:pPr>
            <w:r>
              <w:rPr>
                <w:sz w:val="22"/>
              </w:rPr>
              <w:t xml:space="preserve">- </w:t>
            </w:r>
            <w:proofErr w:type="gramStart"/>
            <w:r>
              <w:rPr>
                <w:sz w:val="22"/>
              </w:rPr>
              <w:t>Evitar  alimentos</w:t>
            </w:r>
            <w:proofErr w:type="gramEnd"/>
            <w:r>
              <w:rPr>
                <w:sz w:val="22"/>
              </w:rPr>
              <w:t xml:space="preserve"> y sales con potasio oculto.</w:t>
            </w:r>
          </w:p>
          <w:p w14:paraId="136A2B5A" w14:textId="77777777" w:rsidR="00883A00" w:rsidRDefault="00883A00" w:rsidP="00D43B75">
            <w:pPr>
              <w:spacing w:line="279" w:lineRule="auto"/>
              <w:ind w:left="25" w:right="41" w:firstLine="9"/>
            </w:pPr>
            <w:r>
              <w:rPr>
                <w:sz w:val="22"/>
              </w:rPr>
              <w:t>- Supervisión por nutricionista renal.</w:t>
            </w:r>
          </w:p>
          <w:p w14:paraId="6B0DCE7F" w14:textId="77777777" w:rsidR="00883A00" w:rsidRDefault="00883A00" w:rsidP="00D43B75">
            <w:pPr>
              <w:spacing w:line="279" w:lineRule="auto"/>
              <w:ind w:left="25" w:right="41" w:firstLine="9"/>
            </w:pPr>
            <w:r>
              <w:rPr>
                <w:sz w:val="22"/>
              </w:rPr>
              <w:t>- Ajustar según etiología (</w:t>
            </w:r>
            <w:proofErr w:type="gramStart"/>
            <w:r>
              <w:rPr>
                <w:sz w:val="22"/>
              </w:rPr>
              <w:t>acidosis,  diabetes</w:t>
            </w:r>
            <w:proofErr w:type="gramEnd"/>
            <w:r>
              <w:rPr>
                <w:sz w:val="22"/>
              </w:rPr>
              <w:t>, etc.).</w:t>
            </w:r>
          </w:p>
        </w:tc>
        <w:tc>
          <w:tcPr>
            <w:tcW w:w="2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7BDD3" w14:textId="77777777" w:rsidR="00883A00" w:rsidRDefault="00883A00" w:rsidP="00D43B75"/>
        </w:tc>
      </w:tr>
      <w:tr w:rsidR="00883A00" w14:paraId="3D44F964" w14:textId="77777777" w:rsidTr="00D43B75">
        <w:trPr>
          <w:trHeight w:val="1826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4B581" w14:textId="77777777" w:rsidR="00883A00" w:rsidRDefault="00883A00" w:rsidP="00D43B75">
            <w:pPr>
              <w:spacing w:line="280" w:lineRule="auto"/>
              <w:ind w:left="52" w:right="395" w:hanging="5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lastRenderedPageBreak/>
              <w:t xml:space="preserve">2. Mantenimiento </w:t>
            </w:r>
            <w:proofErr w:type="gramStart"/>
            <w:r>
              <w:rPr>
                <w:b/>
                <w:bCs/>
                <w:sz w:val="22"/>
              </w:rPr>
              <w:t xml:space="preserve">de  </w:t>
            </w:r>
            <w:proofErr w:type="spellStart"/>
            <w:r>
              <w:rPr>
                <w:b/>
                <w:bCs/>
                <w:sz w:val="22"/>
              </w:rPr>
              <w:t>iSRAA</w:t>
            </w:r>
            <w:proofErr w:type="spellEnd"/>
            <w:proofErr w:type="gramEnd"/>
            <w:r>
              <w:rPr>
                <w:b/>
                <w:bCs/>
                <w:sz w:val="22"/>
              </w:rPr>
              <w:t xml:space="preserve"> si es posible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FD30" w14:textId="77777777" w:rsidR="00883A00" w:rsidRDefault="00883A00" w:rsidP="00D43B75">
            <w:pPr>
              <w:spacing w:line="279" w:lineRule="auto"/>
              <w:ind w:left="34" w:right="63"/>
            </w:pPr>
            <w:r>
              <w:rPr>
                <w:sz w:val="22"/>
              </w:rPr>
              <w:t>- No suspender IECA/ARA II si K</w:t>
            </w:r>
            <w:r>
              <w:rPr>
                <w:rFonts w:ascii="Cambria Math" w:eastAsia="Cambria Math" w:hAnsi="Cambria Math" w:cs="Cambria Math"/>
                <w:sz w:val="22"/>
              </w:rPr>
              <w:t xml:space="preserve">⁺ </w:t>
            </w:r>
            <w:r>
              <w:rPr>
                <w:sz w:val="22"/>
              </w:rPr>
              <w:t>&lt;</w:t>
            </w:r>
            <w:proofErr w:type="gramStart"/>
            <w:r>
              <w:rPr>
                <w:sz w:val="22"/>
              </w:rPr>
              <w:t>6.0  mEq</w:t>
            </w:r>
            <w:proofErr w:type="gramEnd"/>
            <w:r>
              <w:rPr>
                <w:sz w:val="22"/>
              </w:rPr>
              <w:t xml:space="preserve">/L y puede manejarse.- Beneficio  cardiovascular y </w:t>
            </w:r>
            <w:proofErr w:type="spellStart"/>
            <w:r>
              <w:rPr>
                <w:sz w:val="22"/>
              </w:rPr>
              <w:t>renoprotector</w:t>
            </w:r>
            <w:proofErr w:type="spellEnd"/>
            <w:r>
              <w:rPr>
                <w:sz w:val="22"/>
              </w:rPr>
              <w:t xml:space="preserve">  significativo.- Preferir ajuste de dosis o  uso de quelantes.</w:t>
            </w:r>
          </w:p>
        </w:tc>
        <w:tc>
          <w:tcPr>
            <w:tcW w:w="2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06DD" w14:textId="77777777" w:rsidR="00883A00" w:rsidRDefault="00883A00" w:rsidP="00D43B75"/>
        </w:tc>
      </w:tr>
      <w:tr w:rsidR="00883A00" w14:paraId="5BD1EAF0" w14:textId="77777777" w:rsidTr="00D43B75">
        <w:trPr>
          <w:trHeight w:val="1803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05882" w14:textId="77777777" w:rsidR="00883A00" w:rsidRDefault="00883A00" w:rsidP="00D43B75">
            <w:pPr>
              <w:spacing w:line="280" w:lineRule="auto"/>
              <w:ind w:left="54" w:right="179" w:hanging="7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3. Uso de quelantes </w:t>
            </w:r>
            <w:proofErr w:type="gramStart"/>
            <w:r>
              <w:rPr>
                <w:b/>
                <w:bCs/>
                <w:sz w:val="22"/>
              </w:rPr>
              <w:t>de  potasio</w:t>
            </w:r>
            <w:proofErr w:type="gramEnd"/>
            <w:r>
              <w:rPr>
                <w:b/>
                <w:bCs/>
                <w:sz w:val="22"/>
              </w:rPr>
              <w:t xml:space="preserve"> de nueva  </w:t>
            </w:r>
          </w:p>
          <w:p w14:paraId="65F02B45" w14:textId="77777777" w:rsidR="00883A00" w:rsidRDefault="00883A00" w:rsidP="00D43B75">
            <w:pPr>
              <w:spacing w:before="14"/>
              <w:ind w:left="45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generación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8F12C" w14:textId="77777777" w:rsidR="00883A00" w:rsidRDefault="00883A00" w:rsidP="00D43B75">
            <w:pPr>
              <w:spacing w:line="279" w:lineRule="auto"/>
              <w:ind w:left="25" w:right="96" w:firstLine="9"/>
            </w:pPr>
            <w:r>
              <w:rPr>
                <w:sz w:val="22"/>
              </w:rPr>
              <w:t xml:space="preserve">- SZC </w:t>
            </w:r>
            <w:r>
              <w:rPr>
                <w:b/>
                <w:bCs/>
                <w:sz w:val="22"/>
              </w:rPr>
              <w:t xml:space="preserve">LOKELMA </w:t>
            </w:r>
            <w:r>
              <w:rPr>
                <w:sz w:val="22"/>
              </w:rPr>
              <w:t>(10 g 1–3 veces/día</w:t>
            </w:r>
            <w:proofErr w:type="gramStart"/>
            <w:r>
              <w:rPr>
                <w:sz w:val="22"/>
              </w:rPr>
              <w:t>)./</w:t>
            </w:r>
            <w:proofErr w:type="gram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Patiromer</w:t>
            </w:r>
            <w:proofErr w:type="spellEnd"/>
            <w:r>
              <w:rPr>
                <w:sz w:val="22"/>
              </w:rPr>
              <w:t xml:space="preserve"> (dosis inicial: 8.4 g/día) </w:t>
            </w:r>
          </w:p>
          <w:p w14:paraId="57090F88" w14:textId="77777777" w:rsidR="00883A00" w:rsidRDefault="00883A00" w:rsidP="00D43B75">
            <w:pPr>
              <w:spacing w:line="279" w:lineRule="auto"/>
              <w:ind w:left="25" w:right="96" w:firstLine="9"/>
            </w:pPr>
            <w:r>
              <w:rPr>
                <w:sz w:val="22"/>
              </w:rPr>
              <w:t xml:space="preserve">- Alternativa efectiva y segura </w:t>
            </w:r>
            <w:proofErr w:type="gramStart"/>
            <w:r>
              <w:rPr>
                <w:sz w:val="22"/>
              </w:rPr>
              <w:t>para  control</w:t>
            </w:r>
            <w:proofErr w:type="gramEnd"/>
            <w:r>
              <w:rPr>
                <w:sz w:val="22"/>
              </w:rPr>
              <w:t xml:space="preserve"> crónico.</w:t>
            </w:r>
          </w:p>
          <w:p w14:paraId="11A5B97D" w14:textId="77777777" w:rsidR="00883A00" w:rsidRDefault="00883A00" w:rsidP="00D43B75">
            <w:pPr>
              <w:spacing w:line="279" w:lineRule="auto"/>
              <w:ind w:left="25" w:right="96" w:firstLine="9"/>
            </w:pPr>
            <w:r>
              <w:rPr>
                <w:sz w:val="22"/>
              </w:rPr>
              <w:t xml:space="preserve">- Mejora adherencia </w:t>
            </w:r>
            <w:proofErr w:type="gramStart"/>
            <w:r>
              <w:rPr>
                <w:sz w:val="22"/>
              </w:rPr>
              <w:t>al  tratamiento</w:t>
            </w:r>
            <w:proofErr w:type="gramEnd"/>
            <w:r>
              <w:rPr>
                <w:sz w:val="22"/>
              </w:rPr>
              <w:t xml:space="preserve"> y evita hospitalizaciones.</w:t>
            </w:r>
          </w:p>
        </w:tc>
        <w:tc>
          <w:tcPr>
            <w:tcW w:w="2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9A529" w14:textId="77777777" w:rsidR="00883A00" w:rsidRDefault="00883A00" w:rsidP="00D43B75"/>
        </w:tc>
      </w:tr>
    </w:tbl>
    <w:p w14:paraId="75A4CDD9" w14:textId="4E7A06BA" w:rsidR="00883A00" w:rsidRDefault="00883A00" w:rsidP="00BD7E74">
      <w:pPr>
        <w:rPr>
          <w:b/>
          <w:bCs/>
          <w:szCs w:val="24"/>
        </w:rPr>
      </w:pPr>
    </w:p>
    <w:p w14:paraId="3A60E204" w14:textId="31CB8221" w:rsidR="00883A00" w:rsidRDefault="00883A00" w:rsidP="00BD7E74">
      <w:pPr>
        <w:rPr>
          <w:b/>
          <w:bCs/>
          <w:szCs w:val="24"/>
        </w:rPr>
      </w:pPr>
    </w:p>
    <w:p w14:paraId="01C3EAD9" w14:textId="77777777" w:rsidR="00883A00" w:rsidRDefault="00883A00" w:rsidP="00883A00">
      <w:pPr>
        <w:ind w:left="10"/>
        <w:rPr>
          <w:b/>
          <w:bCs/>
          <w:sz w:val="22"/>
        </w:rPr>
      </w:pPr>
      <w:proofErr w:type="gramStart"/>
      <w:r>
        <w:rPr>
          <w:b/>
          <w:bCs/>
          <w:sz w:val="22"/>
        </w:rPr>
        <w:t>Comentarios :</w:t>
      </w:r>
      <w:proofErr w:type="gramEnd"/>
      <w:r>
        <w:rPr>
          <w:b/>
          <w:bCs/>
          <w:sz w:val="22"/>
        </w:rPr>
        <w:t xml:space="preserve"> </w:t>
      </w:r>
    </w:p>
    <w:p w14:paraId="79573912" w14:textId="77777777" w:rsidR="00FE1AC9" w:rsidRDefault="00FE1AC9" w:rsidP="00883A00">
      <w:pPr>
        <w:ind w:left="10"/>
        <w:rPr>
          <w:b/>
          <w:bCs/>
        </w:rPr>
      </w:pPr>
    </w:p>
    <w:p w14:paraId="54153D27" w14:textId="77777777" w:rsidR="00883A00" w:rsidRDefault="00883A00" w:rsidP="00883A00">
      <w:pPr>
        <w:spacing w:line="360" w:lineRule="auto"/>
        <w:rPr>
          <w:szCs w:val="24"/>
        </w:rPr>
      </w:pPr>
      <w:r>
        <w:rPr>
          <w:szCs w:val="24"/>
        </w:rPr>
        <w:t>Objetivo ambulatorio: mantener K</w:t>
      </w:r>
      <w:r>
        <w:rPr>
          <w:rFonts w:ascii="Cambria Math" w:hAnsi="Cambria Math" w:cs="Cambria Math"/>
          <w:szCs w:val="24"/>
        </w:rPr>
        <w:t>⁺</w:t>
      </w:r>
      <w:r>
        <w:rPr>
          <w:szCs w:val="24"/>
        </w:rPr>
        <w:t xml:space="preserve"> &lt;5.5 mEq/L sin suspender tratamientos </w:t>
      </w:r>
      <w:proofErr w:type="gramStart"/>
      <w:r>
        <w:rPr>
          <w:szCs w:val="24"/>
        </w:rPr>
        <w:t>esenciales  para</w:t>
      </w:r>
      <w:proofErr w:type="gramEnd"/>
      <w:r>
        <w:rPr>
          <w:szCs w:val="24"/>
        </w:rPr>
        <w:t xml:space="preserve"> ERC o IC. </w:t>
      </w:r>
    </w:p>
    <w:p w14:paraId="4DD7F575" w14:textId="77777777" w:rsidR="00883A00" w:rsidRDefault="00883A00" w:rsidP="00883A00">
      <w:pPr>
        <w:spacing w:line="360" w:lineRule="auto"/>
        <w:rPr>
          <w:szCs w:val="24"/>
        </w:rPr>
      </w:pPr>
      <w:r>
        <w:rPr>
          <w:szCs w:val="24"/>
        </w:rPr>
        <w:t>Seguimiento cercano: imprescindible ante fluctuaciones del K</w:t>
      </w:r>
      <w:r>
        <w:rPr>
          <w:rFonts w:ascii="Cambria Math" w:hAnsi="Cambria Math" w:cs="Cambria Math"/>
          <w:szCs w:val="24"/>
        </w:rPr>
        <w:t>⁺</w:t>
      </w:r>
      <w:r>
        <w:rPr>
          <w:szCs w:val="24"/>
        </w:rPr>
        <w:t xml:space="preserve"> o cambios </w:t>
      </w:r>
      <w:proofErr w:type="gramStart"/>
      <w:r>
        <w:rPr>
          <w:szCs w:val="24"/>
        </w:rPr>
        <w:t>en  medicamentos</w:t>
      </w:r>
      <w:proofErr w:type="gramEnd"/>
      <w:r>
        <w:rPr>
          <w:szCs w:val="24"/>
        </w:rPr>
        <w:t xml:space="preserve">. </w:t>
      </w:r>
    </w:p>
    <w:p w14:paraId="70F076BF" w14:textId="77777777" w:rsidR="00883A00" w:rsidRDefault="00883A00" w:rsidP="00883A00">
      <w:pPr>
        <w:spacing w:line="360" w:lineRule="auto"/>
        <w:rPr>
          <w:szCs w:val="24"/>
        </w:rPr>
      </w:pPr>
      <w:r>
        <w:rPr>
          <w:szCs w:val="24"/>
        </w:rPr>
        <w:t xml:space="preserve">Importancia del enfoque multidisciplinario para lograr adherencia y prevención </w:t>
      </w:r>
      <w:proofErr w:type="gramStart"/>
      <w:r>
        <w:rPr>
          <w:szCs w:val="24"/>
        </w:rPr>
        <w:t>de  recurrencias</w:t>
      </w:r>
      <w:proofErr w:type="gramEnd"/>
      <w:r>
        <w:rPr>
          <w:szCs w:val="24"/>
        </w:rPr>
        <w:t>.</w:t>
      </w:r>
    </w:p>
    <w:p w14:paraId="674BFB2F" w14:textId="303BF0B5" w:rsidR="00883A00" w:rsidRDefault="00883A00" w:rsidP="00BD7E74">
      <w:pPr>
        <w:rPr>
          <w:b/>
          <w:bCs/>
          <w:szCs w:val="24"/>
        </w:rPr>
      </w:pPr>
    </w:p>
    <w:p w14:paraId="4D5B7B36" w14:textId="4992B19D" w:rsidR="00883A00" w:rsidRDefault="00883A00" w:rsidP="00BD7E74">
      <w:pPr>
        <w:rPr>
          <w:b/>
          <w:bCs/>
          <w:szCs w:val="24"/>
        </w:rPr>
      </w:pPr>
    </w:p>
    <w:p w14:paraId="1BB4BC90" w14:textId="7FB2A2B2" w:rsidR="00883A00" w:rsidRDefault="00883A00" w:rsidP="00BD7E74">
      <w:pPr>
        <w:rPr>
          <w:b/>
          <w:bCs/>
          <w:szCs w:val="24"/>
        </w:rPr>
      </w:pPr>
    </w:p>
    <w:p w14:paraId="03188453" w14:textId="5E9908CA" w:rsidR="00883A00" w:rsidRDefault="00883A00" w:rsidP="00BD7E74">
      <w:pPr>
        <w:rPr>
          <w:b/>
          <w:bCs/>
          <w:szCs w:val="24"/>
        </w:rPr>
      </w:pPr>
    </w:p>
    <w:p w14:paraId="2FF326C5" w14:textId="1E2327F0" w:rsidR="00883A00" w:rsidRDefault="00883A00" w:rsidP="00BD7E74">
      <w:pPr>
        <w:rPr>
          <w:b/>
          <w:bCs/>
          <w:szCs w:val="24"/>
        </w:rPr>
      </w:pPr>
    </w:p>
    <w:p w14:paraId="45BFE9E5" w14:textId="2E06E179" w:rsidR="00883A00" w:rsidRDefault="00883A00" w:rsidP="00BD7E74">
      <w:pPr>
        <w:rPr>
          <w:b/>
          <w:bCs/>
          <w:szCs w:val="24"/>
        </w:rPr>
      </w:pPr>
      <w:r w:rsidRPr="00883A00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13792" behindDoc="0" locked="0" layoutInCell="1" allowOverlap="1" wp14:anchorId="5904B87F" wp14:editId="2526BC4D">
                <wp:simplePos x="0" y="0"/>
                <wp:positionH relativeFrom="column">
                  <wp:posOffset>-288925</wp:posOffset>
                </wp:positionH>
                <wp:positionV relativeFrom="paragraph">
                  <wp:posOffset>-210185</wp:posOffset>
                </wp:positionV>
                <wp:extent cx="7644130" cy="466725"/>
                <wp:effectExtent l="0" t="0" r="0" b="9525"/>
                <wp:wrapNone/>
                <wp:docPr id="10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6672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AC8D83" w14:textId="4F78215E" w:rsidR="00883A00" w:rsidRPr="00883A00" w:rsidRDefault="00883A00" w:rsidP="00883A00">
                            <w:pPr>
                              <w:ind w:left="10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MX"/>
                              </w:rPr>
                              <w:t>9</w:t>
                            </w:r>
                            <w:r w:rsidRPr="00883A0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MX"/>
                              </w:rPr>
                              <w:t>.</w:t>
                            </w:r>
                            <w:r w:rsidRPr="00883A00">
                              <w:rPr>
                                <w:color w:val="FFFFFF" w:themeColor="background1"/>
                                <w:lang w:val="es-MX"/>
                              </w:rPr>
                              <w:t xml:space="preserve">  </w:t>
                            </w:r>
                            <w:r w:rsidRPr="00883A00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MX"/>
                              </w:rPr>
                              <w:t>REFERENCIAS BILIOGRAFICAS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val="es-MX"/>
                              </w:rPr>
                              <w:t xml:space="preserve"> </w:t>
                            </w:r>
                          </w:p>
                          <w:p w14:paraId="53BD8A78" w14:textId="77777777" w:rsidR="00883A00" w:rsidRPr="00662369" w:rsidRDefault="00883A00" w:rsidP="00883A00">
                            <w:pPr>
                              <w:pStyle w:val="Ttulo1"/>
                              <w:rPr>
                                <w:szCs w:val="40"/>
                                <w:lang w:val="es-MX" w:eastAsia="ko-KR"/>
                              </w:rPr>
                            </w:pPr>
                          </w:p>
                          <w:p w14:paraId="2975FA0F" w14:textId="77777777" w:rsidR="00883A00" w:rsidRPr="00D42F8B" w:rsidRDefault="00883A00" w:rsidP="00883A00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4B87F" id="_x0000_s1037" style="position:absolute;left:0;text-align:left;margin-left:-22.75pt;margin-top:-16.55pt;width:601.9pt;height:36.75pt;z-index:4877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" fillcolor="#736363" stroked="f" strokeweight="2pt">
                <v:textbox>
                  <w:txbxContent>
                    <w:p w14:paraId="01AC8D83" w14:textId="4F78215E" w:rsidR="00883A00" w:rsidRPr="00883A00" w:rsidRDefault="00883A00" w:rsidP="00883A00">
                      <w:pPr>
                        <w:ind w:left="10"/>
                        <w:rPr>
                          <w:rFonts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MX"/>
                        </w:rPr>
                        <w:t>9</w:t>
                      </w:r>
                      <w:r w:rsidRPr="00883A0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MX"/>
                        </w:rPr>
                        <w:t>.</w:t>
                      </w:r>
                      <w:r w:rsidRPr="00883A00">
                        <w:rPr>
                          <w:color w:val="FFFFFF" w:themeColor="background1"/>
                          <w:lang w:val="es-MX"/>
                        </w:rPr>
                        <w:t xml:space="preserve">  </w:t>
                      </w:r>
                      <w:r w:rsidRPr="00883A00">
                        <w:rPr>
                          <w:rFonts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MX"/>
                        </w:rPr>
                        <w:t>REFERENCIAS BILIOGRAFICAS</w:t>
                      </w: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val="es-MX"/>
                        </w:rPr>
                        <w:t xml:space="preserve"> </w:t>
                      </w:r>
                    </w:p>
                    <w:p w14:paraId="53BD8A78" w14:textId="77777777" w:rsidR="00883A00" w:rsidRPr="00662369" w:rsidRDefault="00883A00" w:rsidP="00883A00">
                      <w:pPr>
                        <w:pStyle w:val="Ttulo1"/>
                        <w:rPr>
                          <w:szCs w:val="40"/>
                          <w:lang w:val="es-MX" w:eastAsia="ko-KR"/>
                        </w:rPr>
                      </w:pPr>
                    </w:p>
                    <w:p w14:paraId="2975FA0F" w14:textId="77777777" w:rsidR="00883A00" w:rsidRPr="00D42F8B" w:rsidRDefault="00883A00" w:rsidP="00883A00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4B7FD4" w14:textId="1F73CEBF" w:rsidR="00883A00" w:rsidRDefault="00883A00" w:rsidP="00BD7E74">
      <w:pPr>
        <w:rPr>
          <w:b/>
          <w:bCs/>
          <w:szCs w:val="24"/>
        </w:rPr>
      </w:pPr>
    </w:p>
    <w:p w14:paraId="38CF29FD" w14:textId="77777777" w:rsidR="00883A00" w:rsidRDefault="00883A00" w:rsidP="00BD7E74">
      <w:pPr>
        <w:rPr>
          <w:b/>
          <w:bCs/>
          <w:szCs w:val="24"/>
        </w:rPr>
      </w:pPr>
    </w:p>
    <w:p w14:paraId="47BDDDD0" w14:textId="77777777" w:rsidR="00883A00" w:rsidRDefault="00883A00" w:rsidP="00883A00">
      <w:pPr>
        <w:numPr>
          <w:ilvl w:val="0"/>
          <w:numId w:val="10"/>
        </w:numPr>
        <w:autoSpaceDE/>
        <w:autoSpaceDN/>
        <w:spacing w:before="65" w:line="280" w:lineRule="auto"/>
        <w:ind w:right="238"/>
        <w:rPr>
          <w:szCs w:val="24"/>
        </w:rPr>
      </w:pPr>
      <w:r>
        <w:rPr>
          <w:szCs w:val="24"/>
        </w:rPr>
        <w:t xml:space="preserve">Tratamiento estándar de la </w:t>
      </w:r>
      <w:proofErr w:type="spellStart"/>
      <w:proofErr w:type="gramStart"/>
      <w:r>
        <w:rPr>
          <w:szCs w:val="24"/>
        </w:rPr>
        <w:t>hipercalemia</w:t>
      </w:r>
      <w:proofErr w:type="spellEnd"/>
      <w:r>
        <w:rPr>
          <w:szCs w:val="24"/>
        </w:rPr>
        <w:t xml:space="preserve"> .Palmer</w:t>
      </w:r>
      <w:proofErr w:type="gramEnd"/>
      <w:r>
        <w:rPr>
          <w:szCs w:val="24"/>
        </w:rPr>
        <w:t xml:space="preserve"> BF, Clegg DJ. Nefrología, diálisis </w:t>
      </w:r>
      <w:proofErr w:type="gramStart"/>
      <w:r>
        <w:rPr>
          <w:szCs w:val="24"/>
        </w:rPr>
        <w:t>y  trasplante</w:t>
      </w:r>
      <w:proofErr w:type="gramEnd"/>
      <w:r>
        <w:rPr>
          <w:szCs w:val="24"/>
        </w:rPr>
        <w:t>: publicación oficial de la Asociación Europea de Diálisis y Trasplante - Asociación  Renal Europea. 2024;39(7):1097-1104. doi:10.1093/</w:t>
      </w:r>
      <w:proofErr w:type="spellStart"/>
      <w:r>
        <w:rPr>
          <w:szCs w:val="24"/>
        </w:rPr>
        <w:t>ndt</w:t>
      </w:r>
      <w:proofErr w:type="spellEnd"/>
      <w:r>
        <w:rPr>
          <w:szCs w:val="24"/>
        </w:rPr>
        <w:t xml:space="preserve">/gfae056. </w:t>
      </w:r>
    </w:p>
    <w:p w14:paraId="59F35080" w14:textId="77777777" w:rsidR="00883A00" w:rsidRDefault="00883A00" w:rsidP="00883A00">
      <w:pPr>
        <w:numPr>
          <w:ilvl w:val="0"/>
          <w:numId w:val="10"/>
        </w:numPr>
        <w:autoSpaceDE/>
        <w:autoSpaceDN/>
        <w:spacing w:line="280" w:lineRule="auto"/>
        <w:ind w:right="238"/>
        <w:rPr>
          <w:szCs w:val="24"/>
        </w:rPr>
      </w:pPr>
      <w:r>
        <w:rPr>
          <w:color w:val="1B1B1B"/>
          <w:szCs w:val="24"/>
          <w:highlight w:val="white"/>
        </w:rPr>
        <w:t xml:space="preserve">Rico-Fontalvo, J., Rodríguez-González, M. J., </w:t>
      </w:r>
      <w:proofErr w:type="spellStart"/>
      <w:r>
        <w:rPr>
          <w:color w:val="1B1B1B"/>
          <w:szCs w:val="24"/>
          <w:highlight w:val="white"/>
        </w:rPr>
        <w:t>Yama</w:t>
      </w:r>
      <w:proofErr w:type="spellEnd"/>
      <w:r>
        <w:rPr>
          <w:color w:val="1B1B1B"/>
          <w:szCs w:val="24"/>
          <w:highlight w:val="white"/>
        </w:rPr>
        <w:t xml:space="preserve">, E. Y., </w:t>
      </w:r>
      <w:proofErr w:type="gramStart"/>
      <w:r>
        <w:rPr>
          <w:color w:val="1B1B1B"/>
          <w:szCs w:val="24"/>
          <w:highlight w:val="white"/>
        </w:rPr>
        <w:t>Gallego</w:t>
      </w:r>
      <w:proofErr w:type="gramEnd"/>
      <w:r>
        <w:rPr>
          <w:color w:val="1B1B1B"/>
          <w:szCs w:val="24"/>
          <w:highlight w:val="white"/>
        </w:rPr>
        <w:t xml:space="preserve">, C., Montejo-Hernández, J., Martínez, E. M., Lopera, J. M., Echeverria, L., Daza, R., </w:t>
      </w:r>
      <w:proofErr w:type="spellStart"/>
      <w:r>
        <w:rPr>
          <w:color w:val="1B1B1B"/>
          <w:szCs w:val="24"/>
          <w:highlight w:val="white"/>
        </w:rPr>
        <w:t>Pieschacón</w:t>
      </w:r>
      <w:proofErr w:type="spellEnd"/>
      <w:r>
        <w:rPr>
          <w:color w:val="1B1B1B"/>
          <w:szCs w:val="24"/>
          <w:highlight w:val="white"/>
        </w:rPr>
        <w:t xml:space="preserve">, J. R., &amp; Gómez, E. A. (2023). </w:t>
      </w:r>
      <w:proofErr w:type="spellStart"/>
      <w:r>
        <w:rPr>
          <w:color w:val="1B1B1B"/>
          <w:szCs w:val="24"/>
          <w:highlight w:val="white"/>
        </w:rPr>
        <w:t>Chronic</w:t>
      </w:r>
      <w:proofErr w:type="spellEnd"/>
      <w:r>
        <w:rPr>
          <w:color w:val="1B1B1B"/>
          <w:szCs w:val="24"/>
          <w:highlight w:val="white"/>
        </w:rPr>
        <w:t xml:space="preserve"> </w:t>
      </w:r>
      <w:proofErr w:type="spellStart"/>
      <w:r>
        <w:rPr>
          <w:color w:val="1B1B1B"/>
          <w:szCs w:val="24"/>
          <w:highlight w:val="white"/>
        </w:rPr>
        <w:t>hyperkalemia</w:t>
      </w:r>
      <w:proofErr w:type="spellEnd"/>
      <w:r>
        <w:rPr>
          <w:color w:val="1B1B1B"/>
          <w:szCs w:val="24"/>
          <w:highlight w:val="white"/>
        </w:rPr>
        <w:t xml:space="preserve">, diagnosis and </w:t>
      </w:r>
      <w:proofErr w:type="spellStart"/>
      <w:r>
        <w:rPr>
          <w:color w:val="1B1B1B"/>
          <w:szCs w:val="24"/>
          <w:highlight w:val="white"/>
        </w:rPr>
        <w:t>management</w:t>
      </w:r>
      <w:proofErr w:type="spellEnd"/>
      <w:r>
        <w:rPr>
          <w:color w:val="1B1B1B"/>
          <w:szCs w:val="24"/>
          <w:highlight w:val="white"/>
        </w:rPr>
        <w:t xml:space="preserve">. </w:t>
      </w:r>
      <w:proofErr w:type="spellStart"/>
      <w:r>
        <w:rPr>
          <w:color w:val="1B1B1B"/>
          <w:szCs w:val="24"/>
          <w:highlight w:val="white"/>
        </w:rPr>
        <w:t>Colombian</w:t>
      </w:r>
      <w:proofErr w:type="spellEnd"/>
      <w:r>
        <w:rPr>
          <w:color w:val="1B1B1B"/>
          <w:szCs w:val="24"/>
          <w:highlight w:val="white"/>
        </w:rPr>
        <w:t xml:space="preserve"> </w:t>
      </w:r>
      <w:proofErr w:type="spellStart"/>
      <w:r>
        <w:rPr>
          <w:color w:val="1B1B1B"/>
          <w:szCs w:val="24"/>
          <w:highlight w:val="white"/>
        </w:rPr>
        <w:t>consensus</w:t>
      </w:r>
      <w:proofErr w:type="spellEnd"/>
      <w:r>
        <w:rPr>
          <w:color w:val="1B1B1B"/>
          <w:szCs w:val="24"/>
          <w:highlight w:val="white"/>
        </w:rPr>
        <w:t xml:space="preserve">. </w:t>
      </w:r>
      <w:proofErr w:type="spellStart"/>
      <w:r>
        <w:rPr>
          <w:color w:val="1B1B1B"/>
          <w:szCs w:val="24"/>
          <w:highlight w:val="white"/>
        </w:rPr>
        <w:t>Hiperkalemia</w:t>
      </w:r>
      <w:proofErr w:type="spellEnd"/>
      <w:r>
        <w:rPr>
          <w:color w:val="1B1B1B"/>
          <w:szCs w:val="24"/>
          <w:highlight w:val="white"/>
        </w:rPr>
        <w:t xml:space="preserve"> crónica, diagnóstico y manejo. Consenso colombiano. </w:t>
      </w:r>
      <w:r>
        <w:rPr>
          <w:i/>
          <w:iCs/>
          <w:color w:val="1B1B1B"/>
          <w:szCs w:val="24"/>
          <w:highlight w:val="white"/>
        </w:rPr>
        <w:t xml:space="preserve">Archivos de </w:t>
      </w:r>
      <w:proofErr w:type="spellStart"/>
      <w:r>
        <w:rPr>
          <w:i/>
          <w:iCs/>
          <w:color w:val="1B1B1B"/>
          <w:szCs w:val="24"/>
          <w:highlight w:val="white"/>
        </w:rPr>
        <w:t>cardiologia</w:t>
      </w:r>
      <w:proofErr w:type="spellEnd"/>
      <w:r>
        <w:rPr>
          <w:i/>
          <w:iCs/>
          <w:color w:val="1B1B1B"/>
          <w:szCs w:val="24"/>
          <w:highlight w:val="white"/>
        </w:rPr>
        <w:t xml:space="preserve"> de </w:t>
      </w:r>
      <w:proofErr w:type="spellStart"/>
      <w:r>
        <w:rPr>
          <w:i/>
          <w:iCs/>
          <w:color w:val="1B1B1B"/>
          <w:szCs w:val="24"/>
          <w:highlight w:val="white"/>
        </w:rPr>
        <w:t>Mexico</w:t>
      </w:r>
      <w:proofErr w:type="spellEnd"/>
      <w:r>
        <w:rPr>
          <w:color w:val="1B1B1B"/>
          <w:szCs w:val="24"/>
          <w:highlight w:val="white"/>
        </w:rPr>
        <w:t xml:space="preserve">, </w:t>
      </w:r>
      <w:r>
        <w:rPr>
          <w:i/>
          <w:iCs/>
          <w:color w:val="1B1B1B"/>
          <w:szCs w:val="24"/>
          <w:highlight w:val="white"/>
        </w:rPr>
        <w:t>93</w:t>
      </w:r>
      <w:r>
        <w:rPr>
          <w:color w:val="1B1B1B"/>
          <w:szCs w:val="24"/>
          <w:highlight w:val="white"/>
        </w:rPr>
        <w:t>(</w:t>
      </w:r>
      <w:proofErr w:type="spellStart"/>
      <w:r>
        <w:rPr>
          <w:color w:val="1B1B1B"/>
          <w:szCs w:val="24"/>
          <w:highlight w:val="white"/>
        </w:rPr>
        <w:t>Supl</w:t>
      </w:r>
      <w:proofErr w:type="spellEnd"/>
      <w:r>
        <w:rPr>
          <w:color w:val="1B1B1B"/>
          <w:szCs w:val="24"/>
          <w:highlight w:val="white"/>
        </w:rPr>
        <w:t>), 1–12. https://doi.org/10.24875/ACM.23000160</w:t>
      </w:r>
    </w:p>
    <w:p w14:paraId="66641377" w14:textId="77777777" w:rsidR="00883A00" w:rsidRDefault="00883A00" w:rsidP="00883A00">
      <w:pPr>
        <w:numPr>
          <w:ilvl w:val="0"/>
          <w:numId w:val="10"/>
        </w:numPr>
        <w:autoSpaceDE/>
        <w:autoSpaceDN/>
        <w:spacing w:line="279" w:lineRule="auto"/>
        <w:ind w:right="238"/>
        <w:rPr>
          <w:szCs w:val="24"/>
        </w:rPr>
      </w:pPr>
      <w:r>
        <w:rPr>
          <w:szCs w:val="24"/>
        </w:rPr>
        <w:t xml:space="preserve">Manejo de la </w:t>
      </w:r>
      <w:proofErr w:type="spellStart"/>
      <w:r>
        <w:rPr>
          <w:szCs w:val="24"/>
        </w:rPr>
        <w:t>hipercalemia</w:t>
      </w:r>
      <w:proofErr w:type="spellEnd"/>
      <w:r>
        <w:rPr>
          <w:szCs w:val="24"/>
        </w:rPr>
        <w:t xml:space="preserve"> en pacientes con enfermedad renal crónica </w:t>
      </w:r>
      <w:proofErr w:type="gramStart"/>
      <w:r>
        <w:rPr>
          <w:szCs w:val="24"/>
        </w:rPr>
        <w:lastRenderedPageBreak/>
        <w:t>mediante  inhibidores</w:t>
      </w:r>
      <w:proofErr w:type="gramEnd"/>
      <w:r>
        <w:rPr>
          <w:szCs w:val="24"/>
        </w:rPr>
        <w:t xml:space="preserve"> del sistema renina-angiotensina-aldosterona . </w:t>
      </w:r>
      <w:proofErr w:type="spellStart"/>
      <w:r>
        <w:rPr>
          <w:szCs w:val="24"/>
        </w:rPr>
        <w:t>Fravel</w:t>
      </w:r>
      <w:proofErr w:type="spellEnd"/>
      <w:r>
        <w:rPr>
          <w:szCs w:val="24"/>
        </w:rPr>
        <w:t xml:space="preserve"> MA, </w:t>
      </w:r>
      <w:proofErr w:type="spellStart"/>
      <w:r>
        <w:rPr>
          <w:szCs w:val="24"/>
        </w:rPr>
        <w:t>Meaney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CJ,  </w:t>
      </w:r>
      <w:proofErr w:type="spellStart"/>
      <w:r>
        <w:rPr>
          <w:szCs w:val="24"/>
        </w:rPr>
        <w:t>Noureddine</w:t>
      </w:r>
      <w:proofErr w:type="spellEnd"/>
      <w:proofErr w:type="gramEnd"/>
      <w:r>
        <w:rPr>
          <w:szCs w:val="24"/>
        </w:rPr>
        <w:t xml:space="preserve"> L. Informes actuales sobre hipertensión. 2023;25(11):395-404.  doi:10.1007/s11906-023-01265-1. </w:t>
      </w:r>
    </w:p>
    <w:p w14:paraId="284BBBAF" w14:textId="77777777" w:rsidR="00883A00" w:rsidRDefault="00883A00" w:rsidP="00883A00">
      <w:pPr>
        <w:numPr>
          <w:ilvl w:val="0"/>
          <w:numId w:val="10"/>
        </w:numPr>
        <w:autoSpaceDE/>
        <w:autoSpaceDN/>
        <w:spacing w:line="279" w:lineRule="auto"/>
        <w:ind w:right="238"/>
        <w:rPr>
          <w:szCs w:val="24"/>
        </w:rPr>
      </w:pPr>
      <w:r>
        <w:rPr>
          <w:szCs w:val="24"/>
        </w:rPr>
        <w:t xml:space="preserve">Establecer un consenso de expertos interdisciplinarios sobre el tratamiento óptimo de </w:t>
      </w:r>
      <w:proofErr w:type="gramStart"/>
      <w:r>
        <w:rPr>
          <w:szCs w:val="24"/>
        </w:rPr>
        <w:t xml:space="preserve">la  </w:t>
      </w:r>
      <w:proofErr w:type="spellStart"/>
      <w:r>
        <w:rPr>
          <w:szCs w:val="24"/>
        </w:rPr>
        <w:t>hipercalemia</w:t>
      </w:r>
      <w:proofErr w:type="spellEnd"/>
      <w:proofErr w:type="gramEnd"/>
      <w:r>
        <w:rPr>
          <w:szCs w:val="24"/>
        </w:rPr>
        <w:t xml:space="preserve"> en pacientes con insuficiencia cardíaca y enfermedad renal crónica . </w:t>
      </w:r>
      <w:proofErr w:type="spellStart"/>
      <w:r>
        <w:rPr>
          <w:szCs w:val="24"/>
        </w:rPr>
        <w:t>Kitai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T,  Maruyama</w:t>
      </w:r>
      <w:proofErr w:type="gramEnd"/>
      <w:r>
        <w:rPr>
          <w:szCs w:val="24"/>
        </w:rPr>
        <w:t xml:space="preserve"> S, </w:t>
      </w:r>
      <w:proofErr w:type="spellStart"/>
      <w:r>
        <w:rPr>
          <w:szCs w:val="24"/>
        </w:rPr>
        <w:t>Kuwahara</w:t>
      </w:r>
      <w:proofErr w:type="spellEnd"/>
      <w:r>
        <w:rPr>
          <w:szCs w:val="24"/>
        </w:rPr>
        <w:t xml:space="preserve"> K, et al. Revista de circulación: Revista oficial de la Sociedad de  circulación japonesa. 2025;89(4):470-478. doi:10.1253/</w:t>
      </w:r>
      <w:proofErr w:type="gramStart"/>
      <w:r>
        <w:rPr>
          <w:szCs w:val="24"/>
        </w:rPr>
        <w:t>circj.CJ</w:t>
      </w:r>
      <w:proofErr w:type="gramEnd"/>
      <w:r>
        <w:rPr>
          <w:szCs w:val="24"/>
        </w:rPr>
        <w:t xml:space="preserve">-24-0844. </w:t>
      </w:r>
    </w:p>
    <w:p w14:paraId="7C6C0149" w14:textId="77777777" w:rsidR="00883A00" w:rsidRDefault="00883A00" w:rsidP="00883A00">
      <w:pPr>
        <w:numPr>
          <w:ilvl w:val="0"/>
          <w:numId w:val="10"/>
        </w:numPr>
        <w:autoSpaceDE/>
        <w:autoSpaceDN/>
        <w:spacing w:line="279" w:lineRule="auto"/>
        <w:ind w:right="238"/>
        <w:rPr>
          <w:szCs w:val="24"/>
        </w:rPr>
      </w:pPr>
      <w:r>
        <w:rPr>
          <w:szCs w:val="24"/>
        </w:rPr>
        <w:t xml:space="preserve">KDIGO 2024 Guía de práctica clínica para la evaluación y el tratamiento de la </w:t>
      </w:r>
      <w:proofErr w:type="gramStart"/>
      <w:r>
        <w:rPr>
          <w:szCs w:val="24"/>
        </w:rPr>
        <w:t>enfermedad  renal</w:t>
      </w:r>
      <w:proofErr w:type="gramEnd"/>
      <w:r>
        <w:rPr>
          <w:szCs w:val="24"/>
        </w:rPr>
        <w:t xml:space="preserve"> crónica . Riñón Internacional. 2024;105(4S</w:t>
      </w:r>
      <w:proofErr w:type="gramStart"/>
      <w:r>
        <w:rPr>
          <w:szCs w:val="24"/>
        </w:rPr>
        <w:t>):S</w:t>
      </w:r>
      <w:proofErr w:type="gramEnd"/>
      <w:r>
        <w:rPr>
          <w:szCs w:val="24"/>
        </w:rPr>
        <w:t xml:space="preserve">117-S314.  </w:t>
      </w:r>
      <w:proofErr w:type="gramStart"/>
      <w:r>
        <w:rPr>
          <w:szCs w:val="24"/>
        </w:rPr>
        <w:t>Doi:10.1016/j.kint</w:t>
      </w:r>
      <w:proofErr w:type="gramEnd"/>
      <w:r>
        <w:rPr>
          <w:szCs w:val="24"/>
        </w:rPr>
        <w:t xml:space="preserve">.2023.10.018. </w:t>
      </w:r>
    </w:p>
    <w:p w14:paraId="567A501E" w14:textId="77777777" w:rsidR="00883A00" w:rsidRDefault="00883A00" w:rsidP="00883A00">
      <w:pPr>
        <w:numPr>
          <w:ilvl w:val="0"/>
          <w:numId w:val="10"/>
        </w:numPr>
        <w:autoSpaceDE/>
        <w:autoSpaceDN/>
        <w:spacing w:line="280" w:lineRule="auto"/>
        <w:ind w:right="240"/>
        <w:rPr>
          <w:szCs w:val="24"/>
        </w:rPr>
      </w:pPr>
      <w:r>
        <w:rPr>
          <w:szCs w:val="24"/>
        </w:rPr>
        <w:t xml:space="preserve">Enfoque dietético basado en la etiología para el manejo de la </w:t>
      </w:r>
      <w:proofErr w:type="spellStart"/>
      <w:r>
        <w:rPr>
          <w:szCs w:val="24"/>
        </w:rPr>
        <w:t>hipercalemia</w:t>
      </w:r>
      <w:proofErr w:type="spellEnd"/>
      <w:r>
        <w:rPr>
          <w:szCs w:val="24"/>
        </w:rPr>
        <w:t xml:space="preserve"> en </w:t>
      </w:r>
      <w:proofErr w:type="gramStart"/>
      <w:r>
        <w:rPr>
          <w:szCs w:val="24"/>
        </w:rPr>
        <w:t>personas  con</w:t>
      </w:r>
      <w:proofErr w:type="gramEnd"/>
      <w:r>
        <w:rPr>
          <w:szCs w:val="24"/>
        </w:rPr>
        <w:t xml:space="preserve"> enfermedad renal crónica . </w:t>
      </w:r>
      <w:proofErr w:type="spellStart"/>
      <w:r>
        <w:rPr>
          <w:szCs w:val="24"/>
        </w:rPr>
        <w:t>St</w:t>
      </w:r>
      <w:proofErr w:type="spellEnd"/>
      <w:r>
        <w:rPr>
          <w:szCs w:val="24"/>
        </w:rPr>
        <w:t xml:space="preserve">-Jules DE, </w:t>
      </w:r>
      <w:proofErr w:type="spellStart"/>
      <w:r>
        <w:rPr>
          <w:szCs w:val="24"/>
        </w:rPr>
        <w:t>Fouque</w:t>
      </w:r>
      <w:proofErr w:type="spellEnd"/>
      <w:r>
        <w:rPr>
          <w:szCs w:val="24"/>
        </w:rPr>
        <w:t xml:space="preserve"> D. Revisiones de nutrición.  2022;80(11):2198-2205. doi:10.1093/</w:t>
      </w:r>
      <w:proofErr w:type="spellStart"/>
      <w:r>
        <w:rPr>
          <w:szCs w:val="24"/>
        </w:rPr>
        <w:t>nutrit</w:t>
      </w:r>
      <w:proofErr w:type="spellEnd"/>
      <w:r>
        <w:rPr>
          <w:szCs w:val="24"/>
        </w:rPr>
        <w:t xml:space="preserve">/nuac026. </w:t>
      </w:r>
    </w:p>
    <w:p w14:paraId="2D607FD1" w14:textId="77777777" w:rsidR="00883A00" w:rsidRDefault="00883A00" w:rsidP="00883A00">
      <w:pPr>
        <w:numPr>
          <w:ilvl w:val="0"/>
          <w:numId w:val="10"/>
        </w:numPr>
        <w:autoSpaceDE/>
        <w:autoSpaceDN/>
        <w:spacing w:line="279" w:lineRule="auto"/>
        <w:ind w:right="238"/>
        <w:rPr>
          <w:szCs w:val="24"/>
        </w:rPr>
      </w:pPr>
      <w:r>
        <w:rPr>
          <w:szCs w:val="24"/>
        </w:rPr>
        <w:t xml:space="preserve">Guía de práctica clínica KDOQI para nutrición en ERC: actualización </w:t>
      </w:r>
      <w:proofErr w:type="gramStart"/>
      <w:r>
        <w:rPr>
          <w:szCs w:val="24"/>
        </w:rPr>
        <w:t>2020 .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Ikizler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TA,  </w:t>
      </w:r>
      <w:proofErr w:type="spellStart"/>
      <w:r>
        <w:rPr>
          <w:szCs w:val="24"/>
        </w:rPr>
        <w:t>Burrowes</w:t>
      </w:r>
      <w:proofErr w:type="spellEnd"/>
      <w:proofErr w:type="gramEnd"/>
      <w:r>
        <w:rPr>
          <w:szCs w:val="24"/>
        </w:rPr>
        <w:t xml:space="preserve"> JD, </w:t>
      </w:r>
      <w:proofErr w:type="spellStart"/>
      <w:r>
        <w:rPr>
          <w:szCs w:val="24"/>
        </w:rPr>
        <w:t>Byham</w:t>
      </w:r>
      <w:proofErr w:type="spellEnd"/>
      <w:r>
        <w:rPr>
          <w:szCs w:val="24"/>
        </w:rPr>
        <w:t xml:space="preserve">-Gray LD, et al. Revista Estadounidense de Enfermedades Renales:  Revista oficial de la Fundación Nacional del Riñón. 2020;76(3 </w:t>
      </w:r>
      <w:proofErr w:type="spellStart"/>
      <w:r>
        <w:rPr>
          <w:szCs w:val="24"/>
        </w:rPr>
        <w:t>Suppl</w:t>
      </w:r>
      <w:proofErr w:type="spellEnd"/>
      <w:r>
        <w:rPr>
          <w:szCs w:val="24"/>
        </w:rPr>
        <w:t xml:space="preserve"> 1</w:t>
      </w:r>
      <w:proofErr w:type="gramStart"/>
      <w:r>
        <w:rPr>
          <w:szCs w:val="24"/>
        </w:rPr>
        <w:t>):S</w:t>
      </w:r>
      <w:proofErr w:type="gramEnd"/>
      <w:r>
        <w:rPr>
          <w:szCs w:val="24"/>
        </w:rPr>
        <w:t xml:space="preserve">1-S107.  </w:t>
      </w:r>
      <w:proofErr w:type="gramStart"/>
      <w:r>
        <w:rPr>
          <w:szCs w:val="24"/>
        </w:rPr>
        <w:t>doi:10.1053/j.ajkd</w:t>
      </w:r>
      <w:proofErr w:type="gramEnd"/>
      <w:r>
        <w:rPr>
          <w:szCs w:val="24"/>
        </w:rPr>
        <w:t xml:space="preserve">.2020.05.006. </w:t>
      </w:r>
    </w:p>
    <w:p w14:paraId="6A14447F" w14:textId="77777777" w:rsidR="00883A00" w:rsidRDefault="00883A00" w:rsidP="00883A00">
      <w:pPr>
        <w:numPr>
          <w:ilvl w:val="0"/>
          <w:numId w:val="10"/>
        </w:numPr>
        <w:autoSpaceDE/>
        <w:autoSpaceDN/>
        <w:spacing w:line="279" w:lineRule="auto"/>
        <w:ind w:right="240"/>
        <w:rPr>
          <w:szCs w:val="24"/>
        </w:rPr>
      </w:pPr>
      <w:r>
        <w:rPr>
          <w:szCs w:val="24"/>
        </w:rPr>
        <w:t xml:space="preserve">Hiperpotasemia crónica en la enfermedad renal crónica: una vieja preocupación </w:t>
      </w:r>
      <w:proofErr w:type="gramStart"/>
      <w:r>
        <w:rPr>
          <w:szCs w:val="24"/>
        </w:rPr>
        <w:t>con  nuevas</w:t>
      </w:r>
      <w:proofErr w:type="gramEnd"/>
      <w:r>
        <w:rPr>
          <w:szCs w:val="24"/>
        </w:rPr>
        <w:t xml:space="preserve"> respuestas . </w:t>
      </w:r>
      <w:proofErr w:type="spellStart"/>
      <w:r>
        <w:rPr>
          <w:szCs w:val="24"/>
        </w:rPr>
        <w:t>Borrelli</w:t>
      </w:r>
      <w:proofErr w:type="spellEnd"/>
      <w:r>
        <w:rPr>
          <w:szCs w:val="24"/>
        </w:rPr>
        <w:t xml:space="preserve"> S, Matarazzo I, Lembo E, et al. Revista Internacional de </w:t>
      </w:r>
      <w:proofErr w:type="gramStart"/>
      <w:r>
        <w:rPr>
          <w:szCs w:val="24"/>
        </w:rPr>
        <w:t>Ciencias  Moleculares</w:t>
      </w:r>
      <w:proofErr w:type="gramEnd"/>
      <w:r>
        <w:rPr>
          <w:szCs w:val="24"/>
        </w:rPr>
        <w:t xml:space="preserve">. 2022;23(12):6378. doi:10.3390/ijms23126378. </w:t>
      </w:r>
    </w:p>
    <w:p w14:paraId="2694B898" w14:textId="5EBEFE4B" w:rsidR="00883A00" w:rsidRDefault="00883A00" w:rsidP="00883A00">
      <w:pPr>
        <w:numPr>
          <w:ilvl w:val="0"/>
          <w:numId w:val="10"/>
        </w:numPr>
        <w:autoSpaceDE/>
        <w:autoSpaceDN/>
        <w:spacing w:line="280" w:lineRule="auto"/>
        <w:ind w:right="238"/>
        <w:rPr>
          <w:szCs w:val="24"/>
        </w:rPr>
        <w:sectPr w:rsidR="00883A00" w:rsidSect="00883A00">
          <w:pgSz w:w="11909" w:h="16834"/>
          <w:pgMar w:top="1440" w:right="1515" w:bottom="1440" w:left="1800" w:header="720" w:footer="720" w:gutter="0"/>
          <w:cols w:space="720" w:equalWidth="0">
            <w:col w:w="8924" w:space="0"/>
          </w:cols>
        </w:sectPr>
      </w:pPr>
      <w:r>
        <w:rPr>
          <w:szCs w:val="24"/>
        </w:rPr>
        <w:t xml:space="preserve">Quelantes de potasio para la </w:t>
      </w:r>
      <w:proofErr w:type="spellStart"/>
      <w:r>
        <w:rPr>
          <w:szCs w:val="24"/>
        </w:rPr>
        <w:t>hipercalemia</w:t>
      </w:r>
      <w:proofErr w:type="spellEnd"/>
      <w:r>
        <w:rPr>
          <w:szCs w:val="24"/>
        </w:rPr>
        <w:t xml:space="preserve"> en la enfermedad renal crónica: dieta, </w:t>
      </w:r>
      <w:proofErr w:type="gramStart"/>
      <w:r>
        <w:rPr>
          <w:szCs w:val="24"/>
        </w:rPr>
        <w:t>terapia  con</w:t>
      </w:r>
      <w:proofErr w:type="gramEnd"/>
      <w:r>
        <w:rPr>
          <w:szCs w:val="24"/>
        </w:rPr>
        <w:t xml:space="preserve"> inhibidores del sistema renina-angiotensina-aldosterona y hemodiálisis .Palmer  </w:t>
      </w:r>
      <w:proofErr w:type="spellStart"/>
      <w:r>
        <w:rPr>
          <w:szCs w:val="24"/>
        </w:rPr>
        <w:t>BF.Actas</w:t>
      </w:r>
      <w:proofErr w:type="spellEnd"/>
      <w:r>
        <w:rPr>
          <w:szCs w:val="24"/>
        </w:rPr>
        <w:t xml:space="preserve"> de la Clínica Mayo. 2020;95(2):339-354. </w:t>
      </w:r>
      <w:proofErr w:type="gramStart"/>
      <w:r>
        <w:rPr>
          <w:szCs w:val="24"/>
        </w:rPr>
        <w:t>oi:10.1016/j.mayocp</w:t>
      </w:r>
      <w:proofErr w:type="gramEnd"/>
      <w:r>
        <w:rPr>
          <w:szCs w:val="24"/>
        </w:rPr>
        <w:t>.2019.05.01</w:t>
      </w:r>
    </w:p>
    <w:p w14:paraId="2B0ADC1F" w14:textId="5AAB634F" w:rsidR="00883A00" w:rsidRDefault="00883A00" w:rsidP="00BD7E74">
      <w:pPr>
        <w:rPr>
          <w:b/>
          <w:bCs/>
          <w:szCs w:val="24"/>
        </w:rPr>
      </w:pPr>
    </w:p>
    <w:p w14:paraId="7C0DA390" w14:textId="77777777" w:rsidR="00883A00" w:rsidRDefault="00883A00" w:rsidP="00BD7E74">
      <w:pPr>
        <w:rPr>
          <w:b/>
          <w:bCs/>
          <w:szCs w:val="24"/>
        </w:rPr>
      </w:pPr>
    </w:p>
    <w:p w14:paraId="516F83D7" w14:textId="49B0330C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3E21A952" w14:textId="61485EB6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2C697CF1" w14:textId="77777777" w:rsidR="00463364" w:rsidRDefault="00463364" w:rsidP="00463364">
      <w:pPr>
        <w:pStyle w:val="Textoindependiente"/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71808" behindDoc="0" locked="0" layoutInCell="1" allowOverlap="1" wp14:anchorId="09986BC9" wp14:editId="376BA907">
                <wp:simplePos x="0" y="0"/>
                <wp:positionH relativeFrom="column">
                  <wp:posOffset>-325120</wp:posOffset>
                </wp:positionH>
                <wp:positionV relativeFrom="paragraph">
                  <wp:posOffset>-188595</wp:posOffset>
                </wp:positionV>
                <wp:extent cx="7644130" cy="400050"/>
                <wp:effectExtent l="0" t="0" r="0" b="0"/>
                <wp:wrapNone/>
                <wp:docPr id="15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4D13E7" w14:textId="77777777" w:rsidR="00193E07" w:rsidRPr="003702CD" w:rsidRDefault="00193E07" w:rsidP="00B23214">
                            <w:pPr>
                              <w:pStyle w:val="Ttulo1"/>
                            </w:pPr>
                            <w:bookmarkStart w:id="33" w:name="_Toc107491597"/>
                            <w:bookmarkStart w:id="34" w:name="_Toc109637299"/>
                            <w:bookmarkStart w:id="35" w:name="_Toc110487523"/>
                            <w:bookmarkStart w:id="36" w:name="_Toc110487779"/>
                            <w:bookmarkStart w:id="37" w:name="_Toc110487788"/>
                            <w:bookmarkStart w:id="38" w:name="_Toc110487798"/>
                            <w:bookmarkStart w:id="39" w:name="_Toc110487834"/>
                            <w:bookmarkStart w:id="40" w:name="_Toc110488001"/>
                            <w:bookmarkStart w:id="41" w:name="_Toc114065434"/>
                            <w:bookmarkStart w:id="42" w:name="_Toc114067336"/>
                            <w:bookmarkStart w:id="43" w:name="_Toc219283578"/>
                            <w:bookmarkStart w:id="44" w:name="_Toc219288220"/>
                            <w:bookmarkStart w:id="45" w:name="_Toc219289444"/>
                            <w:bookmarkStart w:id="46" w:name="_Toc219289958"/>
                            <w:bookmarkStart w:id="47" w:name="_Toc219290371"/>
                            <w:r>
                              <w:t>ELABORACIÓN Y CONTROL DE CAMBIOS</w:t>
                            </w:r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  <w:bookmarkEnd w:id="41"/>
                            <w:bookmarkEnd w:id="42"/>
                            <w:bookmarkEnd w:id="43"/>
                            <w:bookmarkEnd w:id="44"/>
                            <w:bookmarkEnd w:id="45"/>
                            <w:bookmarkEnd w:id="46"/>
                            <w:bookmarkEnd w:id="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86BC9" id="_x0000_s1038" style="position:absolute;left:0;text-align:left;margin-left:-25.6pt;margin-top:-14.85pt;width:601.9pt;height:31.5pt;z-index:4876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" fillcolor="#736363" stroked="f" strokeweight="2pt">
                <v:textbox>
                  <w:txbxContent>
                    <w:p w14:paraId="414D13E7" w14:textId="77777777" w:rsidR="00193E07" w:rsidRPr="003702CD" w:rsidRDefault="00193E07" w:rsidP="00B23214">
                      <w:pPr>
                        <w:pStyle w:val="Ttulo1"/>
                      </w:pPr>
                      <w:bookmarkStart w:id="81" w:name="_Toc107491597"/>
                      <w:bookmarkStart w:id="82" w:name="_Toc109637299"/>
                      <w:bookmarkStart w:id="83" w:name="_Toc110487523"/>
                      <w:bookmarkStart w:id="84" w:name="_Toc110487779"/>
                      <w:bookmarkStart w:id="85" w:name="_Toc110487788"/>
                      <w:bookmarkStart w:id="86" w:name="_Toc110487798"/>
                      <w:bookmarkStart w:id="87" w:name="_Toc110487834"/>
                      <w:bookmarkStart w:id="88" w:name="_Toc110488001"/>
                      <w:bookmarkStart w:id="89" w:name="_Toc114065434"/>
                      <w:bookmarkStart w:id="90" w:name="_Toc114067336"/>
                      <w:bookmarkStart w:id="91" w:name="_Toc219283578"/>
                      <w:bookmarkStart w:id="92" w:name="_Toc219288220"/>
                      <w:bookmarkStart w:id="93" w:name="_Toc219289444"/>
                      <w:bookmarkStart w:id="94" w:name="_Toc219289958"/>
                      <w:bookmarkStart w:id="95" w:name="_Toc219290371"/>
                      <w:r>
                        <w:t>ELABORACIÓN Y CONTROL DE CAMBIOS</w:t>
                      </w:r>
                      <w:bookmarkEnd w:id="81"/>
                      <w:bookmarkEnd w:id="82"/>
                      <w:bookmarkEnd w:id="83"/>
                      <w:bookmarkEnd w:id="84"/>
                      <w:bookmarkEnd w:id="85"/>
                      <w:bookmarkEnd w:id="86"/>
                      <w:bookmarkEnd w:id="87"/>
                      <w:bookmarkEnd w:id="88"/>
                      <w:bookmarkEnd w:id="89"/>
                      <w:bookmarkEnd w:id="90"/>
                      <w:bookmarkEnd w:id="91"/>
                      <w:bookmarkEnd w:id="92"/>
                      <w:bookmarkEnd w:id="93"/>
                      <w:bookmarkEnd w:id="94"/>
                      <w:bookmarkEnd w:id="95"/>
                    </w:p>
                  </w:txbxContent>
                </v:textbox>
              </v:rect>
            </w:pict>
          </mc:Fallback>
        </mc:AlternateContent>
      </w:r>
    </w:p>
    <w:p w14:paraId="65EAEE55" w14:textId="77777777" w:rsidR="00463364" w:rsidRDefault="00463364" w:rsidP="00463364">
      <w:pPr>
        <w:pStyle w:val="05Cuerpo"/>
        <w:spacing w:before="0"/>
      </w:pPr>
    </w:p>
    <w:p w14:paraId="00C62958" w14:textId="77777777" w:rsidR="00463364" w:rsidRDefault="00463364" w:rsidP="00463364">
      <w:pPr>
        <w:pStyle w:val="05Cuerpo"/>
        <w:spacing w:before="0"/>
      </w:pPr>
    </w:p>
    <w:p w14:paraId="4D2CCF1D" w14:textId="77777777" w:rsidR="00463364" w:rsidRPr="008D0DB9" w:rsidRDefault="00463364" w:rsidP="00463364">
      <w:pPr>
        <w:pStyle w:val="06Elaboracinycontrol"/>
      </w:pPr>
      <w:r w:rsidRPr="008D0DB9">
        <w:t>ELABORACI</w:t>
      </w:r>
      <w:r>
        <w:t>ÓN INICIAL DEL DOCUMENTO</w:t>
      </w:r>
    </w:p>
    <w:p w14:paraId="4B126394" w14:textId="77777777" w:rsidR="00463364" w:rsidRDefault="00463364" w:rsidP="00463364">
      <w:pPr>
        <w:pStyle w:val="05Cuerpo"/>
        <w:spacing w:before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3402"/>
        <w:gridCol w:w="3305"/>
      </w:tblGrid>
      <w:tr w:rsidR="00B55578" w:rsidRPr="00091136" w14:paraId="45D6C852" w14:textId="77777777" w:rsidTr="000145AC">
        <w:trPr>
          <w:trHeight w:val="300"/>
          <w:tblHeader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45A015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CONTROL</w:t>
            </w:r>
          </w:p>
        </w:tc>
        <w:tc>
          <w:tcPr>
            <w:tcW w:w="11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1B2F93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166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FD149C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NOMBRE Y APELLIDO</w:t>
            </w:r>
          </w:p>
        </w:tc>
        <w:tc>
          <w:tcPr>
            <w:tcW w:w="1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0C8853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CARGO</w:t>
            </w:r>
          </w:p>
        </w:tc>
      </w:tr>
      <w:tr w:rsidR="00B55578" w:rsidRPr="00091136" w14:paraId="6F832745" w14:textId="77777777" w:rsidTr="000145AC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5BCFC868" w14:textId="77777777" w:rsidR="00B55578" w:rsidRPr="00091136" w:rsidRDefault="00B55578" w:rsidP="000145AC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REALIZÓ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4D4816B8" w14:textId="2EDE0E29" w:rsidR="00B55578" w:rsidRPr="00091136" w:rsidRDefault="00B55578" w:rsidP="000145AC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 w:rsidR="00FE1AC9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>
              <w:rPr>
                <w:rFonts w:eastAsia="Times New Roman"/>
                <w:sz w:val="20"/>
                <w:szCs w:val="20"/>
                <w:lang w:val="es-CO" w:eastAsia="es-CO"/>
              </w:rPr>
              <w:t>/1</w:t>
            </w:r>
            <w:r w:rsidR="00FE1AC9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>
              <w:rPr>
                <w:rFonts w:eastAsia="Times New Roman"/>
                <w:sz w:val="20"/>
                <w:szCs w:val="20"/>
                <w:lang w:val="es-CO" w:eastAsia="es-CO"/>
              </w:rPr>
              <w:t>/2025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619C81FC" w14:textId="0F05149D" w:rsidR="00B55578" w:rsidRPr="00E609ED" w:rsidRDefault="00FE1AC9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ALVARO PEDROZA PALLARES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4C338506" w14:textId="06FE495E" w:rsidR="00B55578" w:rsidRPr="00E609ED" w:rsidRDefault="00FE1AC9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NEFROLOGO</w:t>
            </w:r>
          </w:p>
        </w:tc>
      </w:tr>
      <w:tr w:rsidR="00B55578" w:rsidRPr="00091136" w14:paraId="32885220" w14:textId="77777777" w:rsidTr="000145AC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5867815" w14:textId="77777777" w:rsidR="00B55578" w:rsidRPr="00091136" w:rsidRDefault="00B55578" w:rsidP="000145AC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REVISÓ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2B97466" w14:textId="3F512861" w:rsidR="00B55578" w:rsidRPr="00591880" w:rsidRDefault="00591880" w:rsidP="000145AC">
            <w:pPr>
              <w:jc w:val="center"/>
              <w:rPr>
                <w:sz w:val="20"/>
                <w:szCs w:val="20"/>
              </w:rPr>
            </w:pPr>
            <w:r w:rsidRPr="00591880">
              <w:rPr>
                <w:sz w:val="20"/>
                <w:szCs w:val="20"/>
              </w:rPr>
              <w:t>22/12/2025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FB364C9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RUBIELA ROMERO MADERO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02E7D44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CALIDAD INSTITUCIONAL</w:t>
            </w:r>
          </w:p>
        </w:tc>
      </w:tr>
      <w:tr w:rsidR="00B55578" w:rsidRPr="00091136" w14:paraId="0BDA707E" w14:textId="77777777" w:rsidTr="000145AC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32C366D9" w14:textId="77777777" w:rsidR="00B55578" w:rsidRPr="00091136" w:rsidRDefault="00B55578" w:rsidP="000145AC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APROBÓ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0D4D68C7" w14:textId="70418FAD" w:rsidR="00B55578" w:rsidRDefault="00FE1AC9" w:rsidP="000145AC">
            <w:pPr>
              <w:jc w:val="center"/>
            </w:pPr>
            <w:r w:rsidRPr="00591880">
              <w:rPr>
                <w:sz w:val="20"/>
                <w:szCs w:val="20"/>
              </w:rPr>
              <w:t>22/12/2025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6DB95AE1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sz w:val="22"/>
                <w:szCs w:val="22"/>
              </w:rPr>
              <w:t>MABIS MERCADO RUA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7AE0599A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SUBGERENTE CIENTIFICA</w:t>
            </w:r>
          </w:p>
        </w:tc>
      </w:tr>
    </w:tbl>
    <w:p w14:paraId="1EE3A290" w14:textId="77777777" w:rsidR="00463364" w:rsidRDefault="00463364" w:rsidP="00463364">
      <w:pPr>
        <w:pStyle w:val="05Cuerpo"/>
        <w:spacing w:before="0"/>
      </w:pPr>
    </w:p>
    <w:p w14:paraId="1DE0332D" w14:textId="77777777" w:rsidR="00463364" w:rsidRPr="008D0DB9" w:rsidRDefault="00463364" w:rsidP="00463364">
      <w:pPr>
        <w:pStyle w:val="06Elaboracinycontrol"/>
      </w:pPr>
      <w:r>
        <w:t>CONTROL DE CAMBIOS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1416"/>
        <w:gridCol w:w="709"/>
        <w:gridCol w:w="1701"/>
        <w:gridCol w:w="1842"/>
        <w:gridCol w:w="1887"/>
      </w:tblGrid>
      <w:tr w:rsidR="00463364" w:rsidRPr="00091136" w14:paraId="7598C0CD" w14:textId="77777777" w:rsidTr="00A358B8">
        <w:trPr>
          <w:trHeight w:val="300"/>
          <w:tblHeader/>
        </w:trPr>
        <w:tc>
          <w:tcPr>
            <w:tcW w:w="1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8018E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NOMBRE DEL DOCUMENTO</w:t>
            </w:r>
          </w:p>
        </w:tc>
        <w:tc>
          <w:tcPr>
            <w:tcW w:w="6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D006942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CÓDIGO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D2E1D7" w14:textId="77777777" w:rsidR="00463364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VER</w:t>
            </w:r>
          </w:p>
          <w:p w14:paraId="7C2EDF47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SIÓN</w:t>
            </w:r>
          </w:p>
        </w:tc>
        <w:tc>
          <w:tcPr>
            <w:tcW w:w="8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D388F78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FECHA MODIFICACIÓN</w:t>
            </w:r>
          </w:p>
        </w:tc>
        <w:tc>
          <w:tcPr>
            <w:tcW w:w="89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DE4BEFD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MODIFICACIÓN</w:t>
            </w:r>
          </w:p>
        </w:tc>
        <w:tc>
          <w:tcPr>
            <w:tcW w:w="92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B7FEC4A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RESPONSABLE</w:t>
            </w:r>
          </w:p>
        </w:tc>
      </w:tr>
      <w:tr w:rsidR="00463364" w:rsidRPr="00091136" w14:paraId="6B63A0F7" w14:textId="77777777" w:rsidTr="00A358B8">
        <w:trPr>
          <w:trHeight w:val="300"/>
        </w:trPr>
        <w:tc>
          <w:tcPr>
            <w:tcW w:w="13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750F1C42" w14:textId="77777777" w:rsidR="00FE1AC9" w:rsidRPr="00FE1AC9" w:rsidRDefault="00FE1AC9" w:rsidP="00FE1AC9">
            <w:pPr>
              <w:pStyle w:val="05Cuerpo"/>
              <w:rPr>
                <w:b/>
                <w:bCs/>
                <w:sz w:val="20"/>
                <w:szCs w:val="20"/>
              </w:rPr>
            </w:pPr>
            <w:r w:rsidRPr="00FE1AC9">
              <w:rPr>
                <w:b/>
                <w:bCs/>
                <w:sz w:val="20"/>
                <w:szCs w:val="20"/>
              </w:rPr>
              <w:t>PROTOCOLO DE MANEJO DE HIPERKALEMIA</w:t>
            </w:r>
          </w:p>
          <w:p w14:paraId="5FBC0E3B" w14:textId="77777777" w:rsidR="00FE1AC9" w:rsidRPr="00FE1AC9" w:rsidRDefault="00FE1AC9" w:rsidP="00FE1AC9">
            <w:pPr>
              <w:pStyle w:val="05Cuerpo"/>
              <w:rPr>
                <w:b/>
                <w:bCs/>
                <w:sz w:val="20"/>
                <w:szCs w:val="20"/>
              </w:rPr>
            </w:pPr>
            <w:r w:rsidRPr="00FE1AC9">
              <w:rPr>
                <w:b/>
                <w:bCs/>
                <w:sz w:val="20"/>
                <w:szCs w:val="20"/>
              </w:rPr>
              <w:t>EN ENFERMEDAD RENAL CRÓNICA</w:t>
            </w:r>
          </w:p>
          <w:p w14:paraId="4C7AC9D2" w14:textId="77777777" w:rsidR="00FE1AC9" w:rsidRPr="00FE1AC9" w:rsidRDefault="00FE1AC9" w:rsidP="00FE1AC9">
            <w:pPr>
              <w:pStyle w:val="05Cuerpo"/>
              <w:rPr>
                <w:b/>
                <w:bCs/>
                <w:sz w:val="20"/>
                <w:szCs w:val="20"/>
              </w:rPr>
            </w:pPr>
            <w:r w:rsidRPr="00FE1AC9">
              <w:rPr>
                <w:b/>
                <w:bCs/>
                <w:sz w:val="20"/>
                <w:szCs w:val="20"/>
              </w:rPr>
              <w:t>(ERC)</w:t>
            </w:r>
          </w:p>
          <w:p w14:paraId="0029644C" w14:textId="6305EAD7" w:rsidR="00463364" w:rsidRPr="00091136" w:rsidRDefault="00463364" w:rsidP="00A358B8">
            <w:pPr>
              <w:pStyle w:val="05Cuerpo"/>
              <w:rPr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4EF979C5" w14:textId="6F56168F" w:rsidR="00463364" w:rsidRPr="0053274B" w:rsidRDefault="00421281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GUR-PT: 0</w:t>
            </w:r>
            <w:r w:rsidR="00FE1AC9">
              <w:rPr>
                <w:rFonts w:eastAsia="Times New Roman"/>
                <w:sz w:val="20"/>
                <w:szCs w:val="20"/>
                <w:lang w:val="es-CO" w:eastAsia="es-CO"/>
              </w:rPr>
              <w:t>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53C16351" w14:textId="16D0FB49" w:rsidR="00463364" w:rsidRPr="0053274B" w:rsidRDefault="00421281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3D0C001B" w14:textId="5C44CAE7" w:rsidR="00463364" w:rsidRPr="0053274B" w:rsidRDefault="00FE1AC9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5918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591880">
              <w:rPr>
                <w:sz w:val="20"/>
                <w:szCs w:val="20"/>
              </w:rPr>
              <w:t>/12/2025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106CD1F2" w14:textId="0EC27D66" w:rsidR="00463364" w:rsidRPr="0053274B" w:rsidRDefault="00421281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CONTENIDO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39BEE4FD" w14:textId="0DFBFE9E" w:rsidR="00463364" w:rsidRPr="0053274B" w:rsidRDefault="00FE1AC9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ALVARO PEDROZA PALLARES</w:t>
            </w:r>
          </w:p>
        </w:tc>
      </w:tr>
      <w:tr w:rsidR="00463364" w:rsidRPr="00091136" w14:paraId="5DDE389A" w14:textId="77777777" w:rsidTr="00A358B8">
        <w:trPr>
          <w:trHeight w:val="300"/>
        </w:trPr>
        <w:tc>
          <w:tcPr>
            <w:tcW w:w="13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8230283" w14:textId="77777777" w:rsidR="00463364" w:rsidRPr="00091136" w:rsidRDefault="00463364" w:rsidP="00A358B8">
            <w:pPr>
              <w:pStyle w:val="05Cuerpo"/>
              <w:rPr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2245341" w14:textId="77777777"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69A9B29" w14:textId="77777777"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43F56B9" w14:textId="77777777"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CEEE774" w14:textId="77777777" w:rsidR="00463364" w:rsidRPr="0053274B" w:rsidRDefault="0046336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432045E" w14:textId="77777777" w:rsidR="00463364" w:rsidRPr="0053274B" w:rsidRDefault="0046336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</w:tbl>
    <w:p w14:paraId="312E5D77" w14:textId="77777777" w:rsidR="00463364" w:rsidRDefault="00463364" w:rsidP="00463364">
      <w:pPr>
        <w:pStyle w:val="05Cuerpo"/>
        <w:spacing w:before="0"/>
      </w:pPr>
    </w:p>
    <w:p w14:paraId="5AC458D3" w14:textId="77777777" w:rsidR="00463364" w:rsidRPr="008D0DB9" w:rsidRDefault="00463364" w:rsidP="00463364">
      <w:pPr>
        <w:pStyle w:val="06Elaboracinycontrol"/>
      </w:pPr>
      <w:r>
        <w:t>registro de comunicación del documento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2088"/>
        <w:gridCol w:w="3800"/>
        <w:gridCol w:w="1283"/>
      </w:tblGrid>
      <w:tr w:rsidR="00463364" w:rsidRPr="00091136" w14:paraId="6D18398D" w14:textId="77777777" w:rsidTr="00A358B8">
        <w:trPr>
          <w:trHeight w:val="300"/>
          <w:tblHeader/>
        </w:trPr>
        <w:tc>
          <w:tcPr>
            <w:tcW w:w="1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07224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NOMBRE Y APELLIDO</w:t>
            </w:r>
          </w:p>
        </w:tc>
        <w:tc>
          <w:tcPr>
            <w:tcW w:w="13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577A099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CARGO</w:t>
            </w:r>
          </w:p>
        </w:tc>
        <w:tc>
          <w:tcPr>
            <w:tcW w:w="96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958FF67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FIRMA</w:t>
            </w:r>
          </w:p>
        </w:tc>
        <w:tc>
          <w:tcPr>
            <w:tcW w:w="92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64AC299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FECHA</w:t>
            </w:r>
          </w:p>
        </w:tc>
      </w:tr>
      <w:tr w:rsidR="00AE415D" w:rsidRPr="00421281" w14:paraId="619EB504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5564CB7C" w14:textId="5CBC3079" w:rsidR="00463364" w:rsidRPr="00421281" w:rsidRDefault="00421281" w:rsidP="00A358B8">
            <w:pPr>
              <w:pStyle w:val="05Cuerpo"/>
              <w:rPr>
                <w:sz w:val="22"/>
                <w:szCs w:val="22"/>
              </w:rPr>
            </w:pPr>
            <w:r w:rsidRPr="00421281">
              <w:rPr>
                <w:sz w:val="22"/>
                <w:szCs w:val="22"/>
              </w:rPr>
              <w:t>ELCYBETH GONZALEZ CRESPO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16DF383B" w14:textId="4AD57529" w:rsidR="00463364" w:rsidRPr="00421281" w:rsidRDefault="00FE1AC9" w:rsidP="00A358B8">
            <w:pPr>
              <w:pStyle w:val="05Cuerpo"/>
              <w:jc w:val="center"/>
              <w:rPr>
                <w:rFonts w:eastAsia="Times New Roman"/>
                <w:sz w:val="22"/>
                <w:szCs w:val="22"/>
                <w:lang w:val="es-CO" w:eastAsia="es-CO"/>
              </w:rPr>
            </w:pPr>
            <w:r w:rsidRPr="005918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591880">
              <w:rPr>
                <w:sz w:val="20"/>
                <w:szCs w:val="20"/>
              </w:rPr>
              <w:t>/12/2025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0C7CDD4B" w14:textId="3F85F89F" w:rsidR="00463364" w:rsidRPr="00421281" w:rsidRDefault="00FE1AC9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119FC06F" wp14:editId="38A61F8B">
                  <wp:extent cx="1748790" cy="408305"/>
                  <wp:effectExtent l="0" t="0" r="381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9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2D424004" w14:textId="1A4A3FEB" w:rsidR="00463364" w:rsidRPr="00421281" w:rsidRDefault="00FE1AC9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 w:rsidRPr="005918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591880">
              <w:rPr>
                <w:sz w:val="20"/>
                <w:szCs w:val="20"/>
              </w:rPr>
              <w:t>/12/2025</w:t>
            </w:r>
          </w:p>
        </w:tc>
      </w:tr>
      <w:tr w:rsidR="00AE415D" w:rsidRPr="00421281" w14:paraId="321D084A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09332F2" w14:textId="3875897D" w:rsidR="00463364" w:rsidRPr="00421281" w:rsidRDefault="00B875AC" w:rsidP="00A358B8">
            <w:pPr>
              <w:pStyle w:val="05Cuerp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MABIS MERCADO RUA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4A16353F" w14:textId="52964E40" w:rsidR="00463364" w:rsidRPr="00421281" w:rsidRDefault="00FE1AC9" w:rsidP="00A358B8">
            <w:pPr>
              <w:pStyle w:val="05Cuerpo"/>
              <w:jc w:val="center"/>
              <w:rPr>
                <w:sz w:val="22"/>
                <w:szCs w:val="22"/>
              </w:rPr>
            </w:pPr>
            <w:r w:rsidRPr="005918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591880">
              <w:rPr>
                <w:sz w:val="20"/>
                <w:szCs w:val="20"/>
              </w:rPr>
              <w:t>/12/2025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10588BA" w14:textId="06E37BC3" w:rsidR="00463364" w:rsidRPr="00421281" w:rsidRDefault="00FE1AC9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600F9013" wp14:editId="5017177F">
                  <wp:extent cx="1748790" cy="396240"/>
                  <wp:effectExtent l="0" t="0" r="3810" b="381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9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C5B356A" w14:textId="2D82DFFB" w:rsidR="00463364" w:rsidRPr="00421281" w:rsidRDefault="00FE1AC9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 w:rsidRPr="005918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591880">
              <w:rPr>
                <w:sz w:val="20"/>
                <w:szCs w:val="20"/>
              </w:rPr>
              <w:t>/12/2025</w:t>
            </w:r>
          </w:p>
        </w:tc>
      </w:tr>
      <w:tr w:rsidR="00AE415D" w:rsidRPr="00421281" w14:paraId="221004BE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1ED3BE20" w14:textId="6EEB2470" w:rsidR="00463364" w:rsidRPr="00421281" w:rsidRDefault="00B875AC" w:rsidP="00A358B8">
            <w:pPr>
              <w:pStyle w:val="05Cuerp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ALVARO PEDROZA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3C3190CA" w14:textId="69A87F57" w:rsidR="00463364" w:rsidRPr="00421281" w:rsidRDefault="00FE1AC9" w:rsidP="00A358B8">
            <w:pPr>
              <w:pStyle w:val="05Cuerpo"/>
              <w:jc w:val="center"/>
              <w:rPr>
                <w:sz w:val="22"/>
                <w:szCs w:val="22"/>
              </w:rPr>
            </w:pPr>
            <w:r w:rsidRPr="005918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591880">
              <w:rPr>
                <w:sz w:val="20"/>
                <w:szCs w:val="20"/>
              </w:rPr>
              <w:t>/12/2025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4220B229" w14:textId="77777777" w:rsidR="00AE415D" w:rsidRPr="00AE415D" w:rsidRDefault="00AE415D" w:rsidP="00AE415D">
            <w:pPr>
              <w:widowControl/>
              <w:autoSpaceDE/>
              <w:autoSpaceDN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AE415D">
              <w:rPr>
                <w:rFonts w:ascii="Times New Roman" w:eastAsia="Times New Roman" w:hAnsi="Times New Roman" w:cs="Times New Roman"/>
                <w:noProof/>
                <w:szCs w:val="24"/>
                <w:lang w:val="es-CO" w:eastAsia="es-CO"/>
              </w:rPr>
              <w:drawing>
                <wp:inline distT="0" distB="0" distL="0" distR="0" wp14:anchorId="7B5FB2FF" wp14:editId="2D9E55AF">
                  <wp:extent cx="2314575" cy="1143000"/>
                  <wp:effectExtent l="0" t="0" r="9525" b="0"/>
                  <wp:docPr id="1579858495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C73F1" w14:textId="77777777" w:rsidR="00463364" w:rsidRPr="00421281" w:rsidRDefault="0046336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2B48C73C" w14:textId="10D77036" w:rsidR="00463364" w:rsidRPr="00421281" w:rsidRDefault="00FE1AC9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 w:rsidRPr="005918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591880">
              <w:rPr>
                <w:sz w:val="20"/>
                <w:szCs w:val="20"/>
              </w:rPr>
              <w:t>/12/2025</w:t>
            </w:r>
          </w:p>
        </w:tc>
      </w:tr>
      <w:tr w:rsidR="00AE415D" w:rsidRPr="00421281" w14:paraId="5623723C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B92AC7D" w14:textId="77777777" w:rsidR="00463364" w:rsidRPr="00421281" w:rsidRDefault="00463364" w:rsidP="00A358B8">
            <w:pPr>
              <w:pStyle w:val="05Cuerpo"/>
              <w:rPr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4F00B7B" w14:textId="77777777" w:rsidR="00463364" w:rsidRPr="00421281" w:rsidRDefault="00463364" w:rsidP="00A358B8">
            <w:pPr>
              <w:pStyle w:val="05Cuerpo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7F53FE2" w14:textId="77777777" w:rsidR="00463364" w:rsidRPr="00421281" w:rsidRDefault="0046336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6A07E8C" w14:textId="77777777" w:rsidR="00463364" w:rsidRPr="00421281" w:rsidRDefault="0046336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</w:p>
        </w:tc>
      </w:tr>
      <w:tr w:rsidR="00AE415D" w:rsidRPr="000A75B7" w14:paraId="22E27F3E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28E25C89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0F04CD76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64AEB9A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33D5494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AE415D" w:rsidRPr="000A75B7" w14:paraId="1C0DE7F1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6384051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708589E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63C5C2C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44A8D55B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AE415D" w:rsidRPr="000A75B7" w14:paraId="23025066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5C87C0E5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5F0001CF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1E523C44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53DEBCEA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AE415D" w:rsidRPr="000A75B7" w14:paraId="37654DFD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AD32868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1C1DEF9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593AAFC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D1345B1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AE415D" w:rsidRPr="000A75B7" w14:paraId="33D851E0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446DC46C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42152A31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100742A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9754B58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AE415D" w:rsidRPr="000A75B7" w14:paraId="76170051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CC9CF3A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351F972C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7F7482E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498D459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AE415D" w:rsidRPr="000A75B7" w14:paraId="1D81C0EE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B742726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20EC33B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6B6493F6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0C8D22EE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AE415D" w:rsidRPr="000A75B7" w14:paraId="5696DAF7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5D33458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28BCB30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7FEEB9F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9A1FDE9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AE415D" w:rsidRPr="000A75B7" w14:paraId="28D0C788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745B115D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4B6229B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A5A7E08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CA1DE0F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</w:tbl>
    <w:p w14:paraId="6C837D54" w14:textId="77777777" w:rsidR="00463364" w:rsidRPr="008D0DB9" w:rsidRDefault="00463364" w:rsidP="00463364">
      <w:pPr>
        <w:pStyle w:val="05Cuerpo"/>
        <w:spacing w:before="0"/>
        <w:sectPr w:rsidR="00463364" w:rsidRPr="008D0DB9" w:rsidSect="006E517C">
          <w:footerReference w:type="default" r:id="rId13"/>
          <w:pgSz w:w="12240" w:h="15840" w:code="1"/>
          <w:pgMar w:top="992" w:right="992" w:bottom="1622" w:left="992" w:header="284" w:footer="567" w:gutter="0"/>
          <w:cols w:space="720"/>
          <w:docGrid w:linePitch="299"/>
        </w:sectPr>
      </w:pPr>
    </w:p>
    <w:p w14:paraId="0B6BDFF4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447B3E6D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4716AA92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4B9A8E1C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034AB7AB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6474D962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71C482A1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AD45F44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60576215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35AAA2E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83F656E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5322E1B6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7C39D828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52267CF4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29947163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3ECEA726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8EF41E3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2DBF5637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33630005" w14:textId="77777777" w:rsidR="00463364" w:rsidRDefault="00463364" w:rsidP="00BB258F">
      <w:pPr>
        <w:pStyle w:val="Textoindependiente"/>
        <w:rPr>
          <w:rFonts w:ascii="Times New Roman"/>
          <w:sz w:val="14"/>
        </w:rPr>
        <w:sectPr w:rsidR="00463364" w:rsidSect="006E517C">
          <w:footerReference w:type="default" r:id="rId14"/>
          <w:pgSz w:w="12240" w:h="15840" w:code="1"/>
          <w:pgMar w:top="992" w:right="992" w:bottom="1622" w:left="992" w:header="284" w:footer="567" w:gutter="0"/>
          <w:cols w:space="720"/>
          <w:docGrid w:linePitch="299"/>
        </w:sectPr>
      </w:pPr>
    </w:p>
    <w:p w14:paraId="78048A5E" w14:textId="77777777" w:rsidR="00AA1BE5" w:rsidRDefault="00AA1BE5" w:rsidP="0087385F">
      <w:pPr>
        <w:rPr>
          <w:sz w:val="19"/>
        </w:rPr>
      </w:pPr>
    </w:p>
    <w:sectPr w:rsidR="00AA1BE5" w:rsidSect="006E517C">
      <w:headerReference w:type="default" r:id="rId15"/>
      <w:footerReference w:type="default" r:id="rId16"/>
      <w:pgSz w:w="12240" w:h="15840" w:code="1"/>
      <w:pgMar w:top="992" w:right="992" w:bottom="1622" w:left="992" w:header="713" w:footer="1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6C598" w14:textId="77777777" w:rsidR="007C32B1" w:rsidRDefault="007C32B1">
      <w:r>
        <w:separator/>
      </w:r>
    </w:p>
  </w:endnote>
  <w:endnote w:type="continuationSeparator" w:id="0">
    <w:p w14:paraId="6BF02EE3" w14:textId="77777777" w:rsidR="007C32B1" w:rsidRDefault="007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85B4F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  <w:r w:rsidRPr="00124C36">
      <w:rPr>
        <w:rFonts w:eastAsia="Batang" w:cs="Arial"/>
        <w:noProof/>
        <w:szCs w:val="24"/>
        <w:lang w:val="en-US" w:eastAsia="ko-KR"/>
      </w:rPr>
      <w:fldChar w:fldCharType="begin"/>
    </w:r>
    <w:r w:rsidRPr="00124C36">
      <w:rPr>
        <w:rFonts w:eastAsia="Batang" w:cs="Arial"/>
        <w:noProof/>
        <w:szCs w:val="24"/>
        <w:lang w:val="en-US" w:eastAsia="ko-KR"/>
      </w:rPr>
      <w:instrText xml:space="preserve"> PAGE </w:instrText>
    </w:r>
    <w:r w:rsidRPr="00124C36">
      <w:rPr>
        <w:rFonts w:eastAsia="Batang" w:cs="Arial"/>
        <w:noProof/>
        <w:szCs w:val="24"/>
        <w:lang w:val="en-US" w:eastAsia="ko-KR"/>
      </w:rPr>
      <w:fldChar w:fldCharType="separate"/>
    </w:r>
    <w:r w:rsidR="000166AF">
      <w:rPr>
        <w:rFonts w:eastAsia="Batang" w:cs="Arial"/>
        <w:noProof/>
        <w:szCs w:val="24"/>
        <w:lang w:val="en-US" w:eastAsia="ko-KR"/>
      </w:rPr>
      <w:t>18</w:t>
    </w:r>
    <w:r w:rsidRPr="00124C36">
      <w:rPr>
        <w:rFonts w:eastAsia="Batang" w:cs="Arial"/>
        <w:noProof/>
        <w:szCs w:val="24"/>
        <w:lang w:val="en-US" w:eastAsia="ko-KR"/>
      </w:rPr>
      <w:fldChar w:fldCharType="end"/>
    </w:r>
  </w:p>
  <w:p w14:paraId="4BA3B2BA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C16ED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  <w:r w:rsidRPr="00124C36">
      <w:rPr>
        <w:rFonts w:ascii="Times New Roman" w:eastAsia="Batang" w:hAnsi="Times New Roman" w:cs="Times New Roman"/>
        <w:noProof/>
        <w:szCs w:val="24"/>
        <w:lang w:val="es-CO" w:eastAsia="es-CO"/>
      </w:rPr>
      <w:drawing>
        <wp:anchor distT="0" distB="0" distL="114300" distR="114300" simplePos="0" relativeHeight="485665280" behindDoc="1" locked="0" layoutInCell="1" allowOverlap="1" wp14:anchorId="38428033" wp14:editId="6A3CFA8B">
          <wp:simplePos x="0" y="0"/>
          <wp:positionH relativeFrom="column">
            <wp:posOffset>-310515</wp:posOffset>
          </wp:positionH>
          <wp:positionV relativeFrom="paragraph">
            <wp:posOffset>131445</wp:posOffset>
          </wp:positionV>
          <wp:extent cx="666750" cy="648335"/>
          <wp:effectExtent l="0" t="0" r="0" b="0"/>
          <wp:wrapNone/>
          <wp:docPr id="434" name="Imagen 434" descr="D:\SG_Documental_HSJM\Logo HSJ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G_Documental_HSJM\Logo HSJ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833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C36">
      <w:rPr>
        <w:rFonts w:eastAsia="Batang" w:cs="Arial"/>
        <w:noProof/>
        <w:szCs w:val="24"/>
        <w:lang w:val="en-US" w:eastAsia="ko-KR"/>
      </w:rPr>
      <w:fldChar w:fldCharType="begin"/>
    </w:r>
    <w:r w:rsidRPr="00124C36">
      <w:rPr>
        <w:rFonts w:eastAsia="Batang" w:cs="Arial"/>
        <w:noProof/>
        <w:szCs w:val="24"/>
        <w:lang w:val="en-US" w:eastAsia="ko-KR"/>
      </w:rPr>
      <w:instrText xml:space="preserve"> PAGE </w:instrText>
    </w:r>
    <w:r w:rsidRPr="00124C36">
      <w:rPr>
        <w:rFonts w:eastAsia="Batang" w:cs="Arial"/>
        <w:noProof/>
        <w:szCs w:val="24"/>
        <w:lang w:val="en-US" w:eastAsia="ko-KR"/>
      </w:rPr>
      <w:fldChar w:fldCharType="separate"/>
    </w:r>
    <w:r w:rsidR="00970DD6">
      <w:rPr>
        <w:rFonts w:eastAsia="Batang" w:cs="Arial"/>
        <w:noProof/>
        <w:szCs w:val="24"/>
        <w:lang w:val="en-US" w:eastAsia="ko-KR"/>
      </w:rPr>
      <w:t>19</w:t>
    </w:r>
    <w:r w:rsidRPr="00124C36">
      <w:rPr>
        <w:rFonts w:eastAsia="Batang" w:cs="Arial"/>
        <w:noProof/>
        <w:szCs w:val="24"/>
        <w:lang w:val="en-US" w:eastAsia="ko-KR"/>
      </w:rPr>
      <w:fldChar w:fldCharType="end"/>
    </w:r>
  </w:p>
  <w:p w14:paraId="60C8369F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  <w:r w:rsidRPr="00124C36">
      <w:rPr>
        <w:rFonts w:eastAsia="Batang" w:cs="Arial"/>
        <w:noProof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485663232" behindDoc="0" locked="0" layoutInCell="1" allowOverlap="1" wp14:anchorId="4064946B" wp14:editId="6D9E9241">
              <wp:simplePos x="0" y="0"/>
              <wp:positionH relativeFrom="margin">
                <wp:posOffset>551180</wp:posOffset>
              </wp:positionH>
              <wp:positionV relativeFrom="paragraph">
                <wp:posOffset>59055</wp:posOffset>
              </wp:positionV>
              <wp:extent cx="7062470" cy="45085"/>
              <wp:effectExtent l="0" t="0" r="508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2470" cy="45085"/>
                      </a:xfrm>
                      <a:prstGeom prst="rect">
                        <a:avLst/>
                      </a:prstGeom>
                      <a:solidFill>
                        <a:srgbClr val="73636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C4FB8AE" id="Rectangle 12" o:spid="_x0000_s1026" style="position:absolute;margin-left:43.4pt;margin-top:4.65pt;width:556.1pt;height:3.55pt;z-index:48566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" fillcolor="#736363" stroked="f" strokeweight="2pt">
              <w10:wrap anchorx="margin"/>
            </v:rect>
          </w:pict>
        </mc:Fallback>
      </mc:AlternateContent>
    </w:r>
  </w:p>
  <w:p w14:paraId="7BE45843" w14:textId="77777777" w:rsidR="00193E07" w:rsidRDefault="00193E07" w:rsidP="00124C36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5ABAE" w14:textId="77777777" w:rsidR="00193E07" w:rsidRDefault="00193E0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09321" w14:textId="77777777" w:rsidR="007C32B1" w:rsidRDefault="007C32B1">
      <w:r>
        <w:separator/>
      </w:r>
    </w:p>
  </w:footnote>
  <w:footnote w:type="continuationSeparator" w:id="0">
    <w:p w14:paraId="69B5E61A" w14:textId="77777777" w:rsidR="007C32B1" w:rsidRDefault="007C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8262" w14:textId="77777777" w:rsidR="00193E07" w:rsidRDefault="00193E0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51D3"/>
    <w:multiLevelType w:val="multilevel"/>
    <w:tmpl w:val="F9B4F7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02Subcapitul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19E228AE"/>
    <w:multiLevelType w:val="multilevel"/>
    <w:tmpl w:val="8D58D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AC0F5E"/>
    <w:multiLevelType w:val="multilevel"/>
    <w:tmpl w:val="92321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D15204"/>
    <w:multiLevelType w:val="multilevel"/>
    <w:tmpl w:val="71E61E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D46FAE"/>
    <w:multiLevelType w:val="multilevel"/>
    <w:tmpl w:val="710C7A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067080"/>
    <w:multiLevelType w:val="multilevel"/>
    <w:tmpl w:val="4828A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7737D4"/>
    <w:multiLevelType w:val="hybridMultilevel"/>
    <w:tmpl w:val="90DE31F8"/>
    <w:lvl w:ilvl="0" w:tplc="55BEDAF6">
      <w:start w:val="1"/>
      <w:numFmt w:val="decimal"/>
      <w:pStyle w:val="02TitPp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567AD"/>
    <w:multiLevelType w:val="multilevel"/>
    <w:tmpl w:val="3340AF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C33A18"/>
    <w:multiLevelType w:val="hybridMultilevel"/>
    <w:tmpl w:val="5B30D2BA"/>
    <w:lvl w:ilvl="0" w:tplc="E5220500">
      <w:start w:val="1"/>
      <w:numFmt w:val="upperRoman"/>
      <w:pStyle w:val="01Capitu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139E"/>
    <w:multiLevelType w:val="multilevel"/>
    <w:tmpl w:val="79509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76511336">
    <w:abstractNumId w:val="6"/>
  </w:num>
  <w:num w:numId="2" w16cid:durableId="1047024497">
    <w:abstractNumId w:val="8"/>
  </w:num>
  <w:num w:numId="3" w16cid:durableId="185873092">
    <w:abstractNumId w:val="0"/>
  </w:num>
  <w:num w:numId="4" w16cid:durableId="37778848">
    <w:abstractNumId w:val="1"/>
  </w:num>
  <w:num w:numId="5" w16cid:durableId="1800151909">
    <w:abstractNumId w:val="3"/>
  </w:num>
  <w:num w:numId="6" w16cid:durableId="1565024663">
    <w:abstractNumId w:val="9"/>
  </w:num>
  <w:num w:numId="7" w16cid:durableId="718356609">
    <w:abstractNumId w:val="5"/>
  </w:num>
  <w:num w:numId="8" w16cid:durableId="756055458">
    <w:abstractNumId w:val="4"/>
  </w:num>
  <w:num w:numId="9" w16cid:durableId="1665740104">
    <w:abstractNumId w:val="2"/>
  </w:num>
  <w:num w:numId="10" w16cid:durableId="7447288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ED"/>
    <w:rsid w:val="00004999"/>
    <w:rsid w:val="00004BDB"/>
    <w:rsid w:val="00012F16"/>
    <w:rsid w:val="000166AF"/>
    <w:rsid w:val="00017D24"/>
    <w:rsid w:val="00020ABD"/>
    <w:rsid w:val="00023A22"/>
    <w:rsid w:val="0002496A"/>
    <w:rsid w:val="0003777F"/>
    <w:rsid w:val="000410AD"/>
    <w:rsid w:val="00041542"/>
    <w:rsid w:val="000416B5"/>
    <w:rsid w:val="00054AC9"/>
    <w:rsid w:val="0005591A"/>
    <w:rsid w:val="00056412"/>
    <w:rsid w:val="0006415F"/>
    <w:rsid w:val="0007747A"/>
    <w:rsid w:val="00080297"/>
    <w:rsid w:val="0008180F"/>
    <w:rsid w:val="00084BE8"/>
    <w:rsid w:val="00091136"/>
    <w:rsid w:val="00097A75"/>
    <w:rsid w:val="000A4C0A"/>
    <w:rsid w:val="000A75B7"/>
    <w:rsid w:val="000B381B"/>
    <w:rsid w:val="000C008B"/>
    <w:rsid w:val="000D2403"/>
    <w:rsid w:val="000E4459"/>
    <w:rsid w:val="001046EE"/>
    <w:rsid w:val="0012207E"/>
    <w:rsid w:val="00123783"/>
    <w:rsid w:val="001243C1"/>
    <w:rsid w:val="001247C6"/>
    <w:rsid w:val="00124C36"/>
    <w:rsid w:val="001256BF"/>
    <w:rsid w:val="001343D7"/>
    <w:rsid w:val="00140A36"/>
    <w:rsid w:val="00153160"/>
    <w:rsid w:val="00154497"/>
    <w:rsid w:val="001656F6"/>
    <w:rsid w:val="001756D7"/>
    <w:rsid w:val="00193E07"/>
    <w:rsid w:val="00195690"/>
    <w:rsid w:val="001957C3"/>
    <w:rsid w:val="001A201C"/>
    <w:rsid w:val="001A7174"/>
    <w:rsid w:val="001A7EA9"/>
    <w:rsid w:val="001B7ABC"/>
    <w:rsid w:val="001C2862"/>
    <w:rsid w:val="001D1D51"/>
    <w:rsid w:val="001D26E3"/>
    <w:rsid w:val="001D5DE7"/>
    <w:rsid w:val="001E60ED"/>
    <w:rsid w:val="001F3B8E"/>
    <w:rsid w:val="0020199B"/>
    <w:rsid w:val="00203D8F"/>
    <w:rsid w:val="00212A0D"/>
    <w:rsid w:val="00215C94"/>
    <w:rsid w:val="00227014"/>
    <w:rsid w:val="00231723"/>
    <w:rsid w:val="00232ACB"/>
    <w:rsid w:val="00234243"/>
    <w:rsid w:val="00244D66"/>
    <w:rsid w:val="00250236"/>
    <w:rsid w:val="00252FAA"/>
    <w:rsid w:val="002752D1"/>
    <w:rsid w:val="00291066"/>
    <w:rsid w:val="00296C80"/>
    <w:rsid w:val="002A593A"/>
    <w:rsid w:val="002B7591"/>
    <w:rsid w:val="002C04F2"/>
    <w:rsid w:val="002C35CD"/>
    <w:rsid w:val="002D19BA"/>
    <w:rsid w:val="002D28F9"/>
    <w:rsid w:val="002E2826"/>
    <w:rsid w:val="002E5010"/>
    <w:rsid w:val="002E77DC"/>
    <w:rsid w:val="002F210F"/>
    <w:rsid w:val="002F248A"/>
    <w:rsid w:val="00311613"/>
    <w:rsid w:val="0032363D"/>
    <w:rsid w:val="00327E2B"/>
    <w:rsid w:val="00335831"/>
    <w:rsid w:val="00336625"/>
    <w:rsid w:val="0034235B"/>
    <w:rsid w:val="00362D57"/>
    <w:rsid w:val="003721A8"/>
    <w:rsid w:val="00384F97"/>
    <w:rsid w:val="003868C0"/>
    <w:rsid w:val="00387272"/>
    <w:rsid w:val="003B09C0"/>
    <w:rsid w:val="003B524A"/>
    <w:rsid w:val="003E052B"/>
    <w:rsid w:val="003E17AF"/>
    <w:rsid w:val="00401C24"/>
    <w:rsid w:val="00411899"/>
    <w:rsid w:val="00412837"/>
    <w:rsid w:val="00417750"/>
    <w:rsid w:val="004209D2"/>
    <w:rsid w:val="00421281"/>
    <w:rsid w:val="004257CF"/>
    <w:rsid w:val="00426035"/>
    <w:rsid w:val="0043073C"/>
    <w:rsid w:val="00431D5F"/>
    <w:rsid w:val="00453371"/>
    <w:rsid w:val="004629B6"/>
    <w:rsid w:val="00463364"/>
    <w:rsid w:val="00464593"/>
    <w:rsid w:val="00471626"/>
    <w:rsid w:val="00494AE3"/>
    <w:rsid w:val="004A714E"/>
    <w:rsid w:val="004A7A76"/>
    <w:rsid w:val="004B051B"/>
    <w:rsid w:val="004B176F"/>
    <w:rsid w:val="004B235C"/>
    <w:rsid w:val="004B686A"/>
    <w:rsid w:val="004D282F"/>
    <w:rsid w:val="004E10EC"/>
    <w:rsid w:val="004F03E6"/>
    <w:rsid w:val="004F3434"/>
    <w:rsid w:val="004F3E38"/>
    <w:rsid w:val="00520C9E"/>
    <w:rsid w:val="00520E40"/>
    <w:rsid w:val="00526104"/>
    <w:rsid w:val="005264B1"/>
    <w:rsid w:val="00526E8A"/>
    <w:rsid w:val="005350A6"/>
    <w:rsid w:val="005751CF"/>
    <w:rsid w:val="00575E5C"/>
    <w:rsid w:val="005812EC"/>
    <w:rsid w:val="00584630"/>
    <w:rsid w:val="00591880"/>
    <w:rsid w:val="005A251C"/>
    <w:rsid w:val="005A2C38"/>
    <w:rsid w:val="005A6F06"/>
    <w:rsid w:val="005C2506"/>
    <w:rsid w:val="005C6CDD"/>
    <w:rsid w:val="005D4688"/>
    <w:rsid w:val="005D63DA"/>
    <w:rsid w:val="005E0C50"/>
    <w:rsid w:val="005E27E0"/>
    <w:rsid w:val="005F0BF9"/>
    <w:rsid w:val="005F43A9"/>
    <w:rsid w:val="0060248E"/>
    <w:rsid w:val="00611D6F"/>
    <w:rsid w:val="00620C93"/>
    <w:rsid w:val="006216E0"/>
    <w:rsid w:val="006238F3"/>
    <w:rsid w:val="00623AEB"/>
    <w:rsid w:val="00624F1A"/>
    <w:rsid w:val="00635880"/>
    <w:rsid w:val="00637FC0"/>
    <w:rsid w:val="00644ED1"/>
    <w:rsid w:val="00650153"/>
    <w:rsid w:val="006529BD"/>
    <w:rsid w:val="0065710D"/>
    <w:rsid w:val="00662369"/>
    <w:rsid w:val="006652E2"/>
    <w:rsid w:val="006665AE"/>
    <w:rsid w:val="00670FF3"/>
    <w:rsid w:val="00687790"/>
    <w:rsid w:val="00694CA1"/>
    <w:rsid w:val="0069516F"/>
    <w:rsid w:val="0069606E"/>
    <w:rsid w:val="006B2B1A"/>
    <w:rsid w:val="006B3F32"/>
    <w:rsid w:val="006B424E"/>
    <w:rsid w:val="006B449D"/>
    <w:rsid w:val="006B49E5"/>
    <w:rsid w:val="006E3B15"/>
    <w:rsid w:val="006E517C"/>
    <w:rsid w:val="006F16B2"/>
    <w:rsid w:val="00707551"/>
    <w:rsid w:val="0071619F"/>
    <w:rsid w:val="007302EE"/>
    <w:rsid w:val="00732A93"/>
    <w:rsid w:val="00741925"/>
    <w:rsid w:val="00756122"/>
    <w:rsid w:val="00760255"/>
    <w:rsid w:val="00774885"/>
    <w:rsid w:val="00776A81"/>
    <w:rsid w:val="00784637"/>
    <w:rsid w:val="00784848"/>
    <w:rsid w:val="007864B2"/>
    <w:rsid w:val="00792E23"/>
    <w:rsid w:val="007A1276"/>
    <w:rsid w:val="007C32B1"/>
    <w:rsid w:val="007C65E4"/>
    <w:rsid w:val="007D1127"/>
    <w:rsid w:val="007D33D2"/>
    <w:rsid w:val="007D7B52"/>
    <w:rsid w:val="007E5861"/>
    <w:rsid w:val="007F37E8"/>
    <w:rsid w:val="0080012B"/>
    <w:rsid w:val="00803C42"/>
    <w:rsid w:val="008112B6"/>
    <w:rsid w:val="00831C67"/>
    <w:rsid w:val="00833C94"/>
    <w:rsid w:val="008345D4"/>
    <w:rsid w:val="00841C6D"/>
    <w:rsid w:val="00842D1D"/>
    <w:rsid w:val="008437ED"/>
    <w:rsid w:val="00846050"/>
    <w:rsid w:val="00846A15"/>
    <w:rsid w:val="00850B80"/>
    <w:rsid w:val="0085493F"/>
    <w:rsid w:val="0085704B"/>
    <w:rsid w:val="0087385F"/>
    <w:rsid w:val="008738EA"/>
    <w:rsid w:val="00873A48"/>
    <w:rsid w:val="00883A00"/>
    <w:rsid w:val="0088624F"/>
    <w:rsid w:val="00897DAC"/>
    <w:rsid w:val="008A0897"/>
    <w:rsid w:val="008B5399"/>
    <w:rsid w:val="008B675A"/>
    <w:rsid w:val="008C4DC5"/>
    <w:rsid w:val="008D0DB9"/>
    <w:rsid w:val="008D298E"/>
    <w:rsid w:val="008D3D98"/>
    <w:rsid w:val="008E19E0"/>
    <w:rsid w:val="008E3CAF"/>
    <w:rsid w:val="008E618C"/>
    <w:rsid w:val="008F3386"/>
    <w:rsid w:val="008F7C8B"/>
    <w:rsid w:val="00900B17"/>
    <w:rsid w:val="009026CD"/>
    <w:rsid w:val="00907265"/>
    <w:rsid w:val="00914134"/>
    <w:rsid w:val="00916597"/>
    <w:rsid w:val="00920205"/>
    <w:rsid w:val="009265F1"/>
    <w:rsid w:val="00944FE5"/>
    <w:rsid w:val="009557E3"/>
    <w:rsid w:val="009665ED"/>
    <w:rsid w:val="00970450"/>
    <w:rsid w:val="00970DD6"/>
    <w:rsid w:val="009776AB"/>
    <w:rsid w:val="0098005A"/>
    <w:rsid w:val="00985F6C"/>
    <w:rsid w:val="00987F00"/>
    <w:rsid w:val="00992CF0"/>
    <w:rsid w:val="009A336D"/>
    <w:rsid w:val="009A4F6B"/>
    <w:rsid w:val="009B0F4E"/>
    <w:rsid w:val="009D6347"/>
    <w:rsid w:val="009E1572"/>
    <w:rsid w:val="009E7D1D"/>
    <w:rsid w:val="009F493A"/>
    <w:rsid w:val="00A06F25"/>
    <w:rsid w:val="00A06FDB"/>
    <w:rsid w:val="00A23671"/>
    <w:rsid w:val="00A30333"/>
    <w:rsid w:val="00A35112"/>
    <w:rsid w:val="00A358B8"/>
    <w:rsid w:val="00A363D9"/>
    <w:rsid w:val="00A456C6"/>
    <w:rsid w:val="00A5043D"/>
    <w:rsid w:val="00A526A0"/>
    <w:rsid w:val="00A549EA"/>
    <w:rsid w:val="00A61EBB"/>
    <w:rsid w:val="00A72B26"/>
    <w:rsid w:val="00A767E0"/>
    <w:rsid w:val="00A908CE"/>
    <w:rsid w:val="00AA1BE5"/>
    <w:rsid w:val="00AA3BCF"/>
    <w:rsid w:val="00AB7F1E"/>
    <w:rsid w:val="00AD6F83"/>
    <w:rsid w:val="00AE415D"/>
    <w:rsid w:val="00AF000B"/>
    <w:rsid w:val="00B05C54"/>
    <w:rsid w:val="00B10B72"/>
    <w:rsid w:val="00B16802"/>
    <w:rsid w:val="00B23214"/>
    <w:rsid w:val="00B267C3"/>
    <w:rsid w:val="00B36426"/>
    <w:rsid w:val="00B443EB"/>
    <w:rsid w:val="00B50084"/>
    <w:rsid w:val="00B55578"/>
    <w:rsid w:val="00B66964"/>
    <w:rsid w:val="00B76027"/>
    <w:rsid w:val="00B81540"/>
    <w:rsid w:val="00B86195"/>
    <w:rsid w:val="00B868A8"/>
    <w:rsid w:val="00B875AC"/>
    <w:rsid w:val="00B92A5D"/>
    <w:rsid w:val="00B949EE"/>
    <w:rsid w:val="00B957D8"/>
    <w:rsid w:val="00BA544E"/>
    <w:rsid w:val="00BB258F"/>
    <w:rsid w:val="00BB7C41"/>
    <w:rsid w:val="00BC4008"/>
    <w:rsid w:val="00BC4A20"/>
    <w:rsid w:val="00BD2BF4"/>
    <w:rsid w:val="00BD52E8"/>
    <w:rsid w:val="00BD7DA9"/>
    <w:rsid w:val="00BD7E74"/>
    <w:rsid w:val="00C029A1"/>
    <w:rsid w:val="00C17081"/>
    <w:rsid w:val="00C2241A"/>
    <w:rsid w:val="00C22EA7"/>
    <w:rsid w:val="00C46112"/>
    <w:rsid w:val="00C51F6F"/>
    <w:rsid w:val="00C52387"/>
    <w:rsid w:val="00C62128"/>
    <w:rsid w:val="00C770C7"/>
    <w:rsid w:val="00C961BF"/>
    <w:rsid w:val="00CA64A5"/>
    <w:rsid w:val="00CA7F6E"/>
    <w:rsid w:val="00CB1589"/>
    <w:rsid w:val="00CB19EE"/>
    <w:rsid w:val="00CB570D"/>
    <w:rsid w:val="00CC0B0B"/>
    <w:rsid w:val="00CC1313"/>
    <w:rsid w:val="00CC34DB"/>
    <w:rsid w:val="00CC5AC1"/>
    <w:rsid w:val="00D031A2"/>
    <w:rsid w:val="00D22A6B"/>
    <w:rsid w:val="00D248A7"/>
    <w:rsid w:val="00D31C21"/>
    <w:rsid w:val="00D42F8B"/>
    <w:rsid w:val="00D50E1C"/>
    <w:rsid w:val="00D53141"/>
    <w:rsid w:val="00D537BF"/>
    <w:rsid w:val="00D53BE8"/>
    <w:rsid w:val="00D621BD"/>
    <w:rsid w:val="00D6296A"/>
    <w:rsid w:val="00D64470"/>
    <w:rsid w:val="00D706AF"/>
    <w:rsid w:val="00D71FB5"/>
    <w:rsid w:val="00D74CA2"/>
    <w:rsid w:val="00D8181C"/>
    <w:rsid w:val="00D851D5"/>
    <w:rsid w:val="00D94D60"/>
    <w:rsid w:val="00D95A21"/>
    <w:rsid w:val="00DA75CC"/>
    <w:rsid w:val="00DB328A"/>
    <w:rsid w:val="00DC5912"/>
    <w:rsid w:val="00DC7174"/>
    <w:rsid w:val="00DD63C1"/>
    <w:rsid w:val="00DE0A0B"/>
    <w:rsid w:val="00DE5C95"/>
    <w:rsid w:val="00DF203D"/>
    <w:rsid w:val="00E12852"/>
    <w:rsid w:val="00E15421"/>
    <w:rsid w:val="00E359BD"/>
    <w:rsid w:val="00E42EAC"/>
    <w:rsid w:val="00E54766"/>
    <w:rsid w:val="00E54D7B"/>
    <w:rsid w:val="00E60F1B"/>
    <w:rsid w:val="00E65496"/>
    <w:rsid w:val="00E81AAC"/>
    <w:rsid w:val="00EA2B8C"/>
    <w:rsid w:val="00EB069C"/>
    <w:rsid w:val="00EB3676"/>
    <w:rsid w:val="00EC08C4"/>
    <w:rsid w:val="00ED5052"/>
    <w:rsid w:val="00EE6CDA"/>
    <w:rsid w:val="00EE7233"/>
    <w:rsid w:val="00F036B8"/>
    <w:rsid w:val="00F044CB"/>
    <w:rsid w:val="00F05871"/>
    <w:rsid w:val="00F17345"/>
    <w:rsid w:val="00F4048C"/>
    <w:rsid w:val="00F50791"/>
    <w:rsid w:val="00F515EF"/>
    <w:rsid w:val="00F53990"/>
    <w:rsid w:val="00F558B7"/>
    <w:rsid w:val="00F60F3B"/>
    <w:rsid w:val="00F73E2D"/>
    <w:rsid w:val="00F85BF7"/>
    <w:rsid w:val="00F85D49"/>
    <w:rsid w:val="00F9526F"/>
    <w:rsid w:val="00FA2B33"/>
    <w:rsid w:val="00FA4913"/>
    <w:rsid w:val="00FB1AC8"/>
    <w:rsid w:val="00FC0E4D"/>
    <w:rsid w:val="00FC6CFA"/>
    <w:rsid w:val="00FD021F"/>
    <w:rsid w:val="00FD0C99"/>
    <w:rsid w:val="00FD46DC"/>
    <w:rsid w:val="00FE1AC9"/>
    <w:rsid w:val="00FF27E1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5C0D0E"/>
  <w15:docId w15:val="{850054F9-70F5-471D-B760-C5A5B741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7AF"/>
    <w:pPr>
      <w:jc w:val="both"/>
    </w:pPr>
    <w:rPr>
      <w:rFonts w:ascii="Arial" w:eastAsia="Arial MT" w:hAnsi="Arial" w:cs="Arial MT"/>
      <w:sz w:val="24"/>
      <w:lang w:val="es-ES"/>
    </w:rPr>
  </w:style>
  <w:style w:type="paragraph" w:styleId="Ttulo1">
    <w:name w:val="heading 1"/>
    <w:basedOn w:val="Normal"/>
    <w:link w:val="Ttulo1Car"/>
    <w:uiPriority w:val="9"/>
    <w:qFormat/>
    <w:rsid w:val="003E17AF"/>
    <w:pPr>
      <w:ind w:left="703" w:right="14"/>
      <w:jc w:val="left"/>
      <w:outlineLvl w:val="0"/>
    </w:pPr>
    <w:rPr>
      <w:rFonts w:eastAsia="Arial" w:cs="Arial"/>
      <w:b/>
      <w:bCs/>
      <w:color w:val="FFFFFF" w:themeColor="background1"/>
      <w:sz w:val="40"/>
      <w:szCs w:val="24"/>
    </w:rPr>
  </w:style>
  <w:style w:type="paragraph" w:styleId="Ttulo2">
    <w:name w:val="heading 2"/>
    <w:basedOn w:val="Normal"/>
    <w:link w:val="Ttulo2Car"/>
    <w:uiPriority w:val="9"/>
    <w:qFormat/>
    <w:pPr>
      <w:ind w:left="598"/>
      <w:outlineLvl w:val="1"/>
    </w:pPr>
    <w:rPr>
      <w:rFonts w:eastAsia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2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1"/>
    <w:qFormat/>
    <w:pPr>
      <w:ind w:left="968" w:hanging="371"/>
    </w:pPr>
    <w:rPr>
      <w:rFonts w:eastAsia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A908CE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08C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12A0D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1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6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642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6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426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nhideWhenUsed/>
    <w:rsid w:val="00362D57"/>
    <w:rPr>
      <w:rFonts w:ascii="Times New Roman" w:hAnsi="Times New Roman" w:cs="Times New Roman"/>
      <w:szCs w:val="24"/>
    </w:rPr>
  </w:style>
  <w:style w:type="character" w:customStyle="1" w:styleId="sowc">
    <w:name w:val="sowc"/>
    <w:basedOn w:val="Fuentedeprrafopredeter"/>
    <w:rsid w:val="00124C36"/>
  </w:style>
  <w:style w:type="paragraph" w:customStyle="1" w:styleId="02TitPpal">
    <w:name w:val="02 Tit Ppal"/>
    <w:basedOn w:val="Normal"/>
    <w:link w:val="02TitPpalCar"/>
    <w:rsid w:val="00124C36"/>
    <w:pPr>
      <w:widowControl/>
      <w:numPr>
        <w:numId w:val="1"/>
      </w:numPr>
      <w:autoSpaceDE/>
      <w:autoSpaceDN/>
      <w:contextualSpacing/>
    </w:pPr>
    <w:rPr>
      <w:rFonts w:eastAsia="Batang" w:cs="Arial"/>
      <w:b/>
      <w:color w:val="FFFFFF"/>
      <w:sz w:val="40"/>
      <w:szCs w:val="56"/>
      <w:lang w:val="en-US" w:eastAsia="ko-KR"/>
    </w:rPr>
  </w:style>
  <w:style w:type="character" w:customStyle="1" w:styleId="02TitPpalCar">
    <w:name w:val="02 Tit Ppal Car"/>
    <w:basedOn w:val="Fuentedeprrafopredeter"/>
    <w:link w:val="02TitPpal"/>
    <w:rsid w:val="00124C36"/>
    <w:rPr>
      <w:rFonts w:ascii="Arial" w:eastAsia="Batang" w:hAnsi="Arial" w:cs="Arial"/>
      <w:b/>
      <w:color w:val="FFFFFF"/>
      <w:sz w:val="40"/>
      <w:szCs w:val="56"/>
      <w:lang w:eastAsia="ko-KR"/>
    </w:rPr>
  </w:style>
  <w:style w:type="paragraph" w:customStyle="1" w:styleId="01Capitul">
    <w:name w:val="01 Capitul"/>
    <w:basedOn w:val="02TitPpal"/>
    <w:link w:val="01CapitulCar"/>
    <w:uiPriority w:val="1"/>
    <w:qFormat/>
    <w:rsid w:val="00124C36"/>
    <w:pPr>
      <w:numPr>
        <w:numId w:val="2"/>
      </w:numPr>
    </w:pPr>
  </w:style>
  <w:style w:type="paragraph" w:customStyle="1" w:styleId="05Cuerpo">
    <w:name w:val="05 Cuerpo"/>
    <w:basedOn w:val="Textoindependiente"/>
    <w:link w:val="05CuerpoCar"/>
    <w:uiPriority w:val="1"/>
    <w:qFormat/>
    <w:rsid w:val="003B524A"/>
    <w:pPr>
      <w:spacing w:before="8"/>
    </w:pPr>
    <w:rPr>
      <w:szCs w:val="24"/>
    </w:rPr>
  </w:style>
  <w:style w:type="character" w:customStyle="1" w:styleId="01CapitulCar">
    <w:name w:val="01 Capitul Car"/>
    <w:basedOn w:val="02TitPpalCar"/>
    <w:link w:val="01Capitul"/>
    <w:uiPriority w:val="1"/>
    <w:rsid w:val="00124C36"/>
    <w:rPr>
      <w:rFonts w:ascii="Arial" w:eastAsia="Batang" w:hAnsi="Arial" w:cs="Arial"/>
      <w:b/>
      <w:color w:val="FFFFFF"/>
      <w:sz w:val="40"/>
      <w:szCs w:val="56"/>
      <w:lang w:eastAsia="ko-KR"/>
    </w:rPr>
  </w:style>
  <w:style w:type="paragraph" w:customStyle="1" w:styleId="02Subcapitulo">
    <w:name w:val="02 Subcapitulo"/>
    <w:basedOn w:val="Prrafodelista"/>
    <w:link w:val="02SubcapituloCar"/>
    <w:uiPriority w:val="1"/>
    <w:qFormat/>
    <w:rsid w:val="00DC7174"/>
    <w:pPr>
      <w:widowControl/>
      <w:numPr>
        <w:ilvl w:val="1"/>
        <w:numId w:val="3"/>
      </w:numPr>
      <w:autoSpaceDE/>
      <w:autoSpaceDN/>
      <w:spacing w:line="276" w:lineRule="auto"/>
      <w:contextualSpacing/>
    </w:pPr>
    <w:rPr>
      <w:rFonts w:eastAsia="Batang"/>
      <w:b/>
      <w:caps/>
      <w:color w:val="669999"/>
      <w:sz w:val="32"/>
      <w:szCs w:val="24"/>
      <w:lang w:val="en-US" w:eastAsia="ko-KR"/>
    </w:rPr>
  </w:style>
  <w:style w:type="character" w:customStyle="1" w:styleId="05CuerpoCar">
    <w:name w:val="05 Cuerpo Car"/>
    <w:basedOn w:val="TextoindependienteCar"/>
    <w:link w:val="05Cuerpo"/>
    <w:uiPriority w:val="1"/>
    <w:rsid w:val="003B524A"/>
    <w:rPr>
      <w:rFonts w:ascii="Arial MT" w:eastAsia="Arial MT" w:hAnsi="Arial MT" w:cs="Arial MT"/>
      <w:sz w:val="24"/>
      <w:szCs w:val="24"/>
      <w:lang w:val="es-ES"/>
    </w:rPr>
  </w:style>
  <w:style w:type="paragraph" w:customStyle="1" w:styleId="06Fuente">
    <w:name w:val="06 Fuente"/>
    <w:basedOn w:val="05Cuerpo"/>
    <w:link w:val="06FuenteCar"/>
    <w:uiPriority w:val="1"/>
    <w:rsid w:val="00DC7174"/>
    <w:rPr>
      <w:rFonts w:cs="Arial"/>
      <w:i/>
      <w:sz w:val="20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DC7174"/>
    <w:rPr>
      <w:rFonts w:ascii="Arial" w:eastAsia="Arial" w:hAnsi="Arial" w:cs="Arial"/>
      <w:lang w:val="es-ES"/>
    </w:rPr>
  </w:style>
  <w:style w:type="character" w:customStyle="1" w:styleId="02SubcapituloCar">
    <w:name w:val="02 Subcapitulo Car"/>
    <w:basedOn w:val="PrrafodelistaCar"/>
    <w:link w:val="02Subcapitulo"/>
    <w:uiPriority w:val="1"/>
    <w:rsid w:val="00DC7174"/>
    <w:rPr>
      <w:rFonts w:ascii="Arial" w:eastAsia="Batang" w:hAnsi="Arial" w:cs="Arial"/>
      <w:b/>
      <w:caps/>
      <w:color w:val="669999"/>
      <w:sz w:val="32"/>
      <w:szCs w:val="24"/>
      <w:lang w:val="es-ES" w:eastAsia="ko-KR"/>
    </w:rPr>
  </w:style>
  <w:style w:type="paragraph" w:customStyle="1" w:styleId="07Graficos">
    <w:name w:val="07 Graficos"/>
    <w:basedOn w:val="05Cuerpo"/>
    <w:link w:val="07GraficosCar"/>
    <w:uiPriority w:val="1"/>
    <w:qFormat/>
    <w:rsid w:val="00DC7174"/>
    <w:rPr>
      <w:b/>
      <w:i/>
    </w:rPr>
  </w:style>
  <w:style w:type="character" w:customStyle="1" w:styleId="06FuenteCar">
    <w:name w:val="06 Fuente Car"/>
    <w:basedOn w:val="05CuerpoCar"/>
    <w:link w:val="06Fuente"/>
    <w:uiPriority w:val="1"/>
    <w:rsid w:val="00DC7174"/>
    <w:rPr>
      <w:rFonts w:ascii="Arial" w:eastAsia="Arial MT" w:hAnsi="Arial" w:cs="Arial"/>
      <w:i/>
      <w:sz w:val="20"/>
      <w:szCs w:val="20"/>
      <w:lang w:val="es-ES"/>
    </w:rPr>
  </w:style>
  <w:style w:type="paragraph" w:customStyle="1" w:styleId="03SupCapitulo1">
    <w:name w:val="03 SupCapitulo 1"/>
    <w:basedOn w:val="02Subcapitulo"/>
    <w:link w:val="03SupCapitulo1Car"/>
    <w:uiPriority w:val="1"/>
    <w:qFormat/>
    <w:rsid w:val="005751CF"/>
    <w:pPr>
      <w:numPr>
        <w:ilvl w:val="0"/>
        <w:numId w:val="0"/>
      </w:numPr>
    </w:pPr>
    <w:rPr>
      <w:sz w:val="28"/>
      <w:szCs w:val="28"/>
    </w:rPr>
  </w:style>
  <w:style w:type="character" w:customStyle="1" w:styleId="07GraficosCar">
    <w:name w:val="07 Graficos Car"/>
    <w:basedOn w:val="05CuerpoCar"/>
    <w:link w:val="07Graficos"/>
    <w:uiPriority w:val="1"/>
    <w:rsid w:val="00DC7174"/>
    <w:rPr>
      <w:rFonts w:ascii="Arial MT" w:eastAsia="Arial MT" w:hAnsi="Arial MT" w:cs="Arial MT"/>
      <w:b/>
      <w:i/>
      <w:sz w:val="24"/>
      <w:szCs w:val="24"/>
      <w:lang w:val="es-ES"/>
    </w:rPr>
  </w:style>
  <w:style w:type="paragraph" w:customStyle="1" w:styleId="04Supcapitulo2">
    <w:name w:val="04 Supcapitulo 2"/>
    <w:basedOn w:val="03SupCapitulo1"/>
    <w:link w:val="04Supcapitulo2Car"/>
    <w:uiPriority w:val="1"/>
    <w:qFormat/>
    <w:rsid w:val="00637FC0"/>
  </w:style>
  <w:style w:type="character" w:customStyle="1" w:styleId="03SupCapitulo1Car">
    <w:name w:val="03 SupCapitulo 1 Car"/>
    <w:basedOn w:val="02SubcapituloCar"/>
    <w:link w:val="03SupCapitulo1"/>
    <w:uiPriority w:val="1"/>
    <w:rsid w:val="005751CF"/>
    <w:rPr>
      <w:rFonts w:ascii="Arial" w:eastAsia="Batang" w:hAnsi="Arial" w:cs="Arial"/>
      <w:b/>
      <w:caps/>
      <w:color w:val="669999"/>
      <w:sz w:val="28"/>
      <w:szCs w:val="28"/>
      <w:lang w:val="es-ES" w:eastAsia="ko-K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2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04Supcapitulo2Car">
    <w:name w:val="04 Supcapitulo 2 Car"/>
    <w:basedOn w:val="03SupCapitulo1Car"/>
    <w:link w:val="04Supcapitulo2"/>
    <w:uiPriority w:val="1"/>
    <w:rsid w:val="00637FC0"/>
    <w:rPr>
      <w:rFonts w:ascii="Arial" w:eastAsia="Batang" w:hAnsi="Arial" w:cs="Arial"/>
      <w:b/>
      <w:caps/>
      <w:color w:val="669999"/>
      <w:sz w:val="28"/>
      <w:szCs w:val="28"/>
      <w:lang w:val="es-ES" w:eastAsia="ko-KR"/>
    </w:rPr>
  </w:style>
  <w:style w:type="paragraph" w:styleId="TDC1">
    <w:name w:val="toc 1"/>
    <w:basedOn w:val="Normal"/>
    <w:next w:val="Normal"/>
    <w:autoRedefine/>
    <w:uiPriority w:val="39"/>
    <w:unhideWhenUsed/>
    <w:rsid w:val="0023424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34243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34243"/>
    <w:pPr>
      <w:spacing w:after="100"/>
      <w:ind w:left="220"/>
    </w:pPr>
  </w:style>
  <w:style w:type="paragraph" w:customStyle="1" w:styleId="08Elaboracinycontrol">
    <w:name w:val="08 Elaboración y control"/>
    <w:basedOn w:val="02Subcapitulo"/>
    <w:link w:val="08ElaboracinycontrolCar"/>
    <w:uiPriority w:val="1"/>
    <w:qFormat/>
    <w:rsid w:val="001656F6"/>
    <w:pPr>
      <w:numPr>
        <w:ilvl w:val="0"/>
        <w:numId w:val="0"/>
      </w:numPr>
      <w:spacing w:line="240" w:lineRule="auto"/>
    </w:pPr>
  </w:style>
  <w:style w:type="character" w:customStyle="1" w:styleId="08ElaboracinycontrolCar">
    <w:name w:val="08 Elaboración y control Car"/>
    <w:basedOn w:val="02SubcapituloCar"/>
    <w:link w:val="08Elaboracinycontrol"/>
    <w:uiPriority w:val="1"/>
    <w:rsid w:val="001656F6"/>
    <w:rPr>
      <w:rFonts w:ascii="Arial" w:eastAsia="Batang" w:hAnsi="Arial" w:cs="Arial"/>
      <w:b/>
      <w:caps/>
      <w:color w:val="669999"/>
      <w:sz w:val="32"/>
      <w:szCs w:val="24"/>
      <w:lang w:val="es-ES" w:eastAsia="ko-KR"/>
    </w:rPr>
  </w:style>
  <w:style w:type="paragraph" w:styleId="Textocomentario">
    <w:name w:val="annotation text"/>
    <w:basedOn w:val="Normal"/>
    <w:link w:val="TextocomentarioCar"/>
    <w:uiPriority w:val="99"/>
    <w:semiHidden/>
    <w:rsid w:val="000049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49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Elaboracinycontrol">
    <w:name w:val="06 Elaboración y control"/>
    <w:basedOn w:val="02Subcapitulo"/>
    <w:link w:val="06ElaboracinycontrolCar"/>
    <w:uiPriority w:val="1"/>
    <w:qFormat/>
    <w:rsid w:val="00463364"/>
    <w:pPr>
      <w:numPr>
        <w:ilvl w:val="0"/>
        <w:numId w:val="0"/>
      </w:numPr>
      <w:spacing w:line="240" w:lineRule="auto"/>
    </w:pPr>
    <w:rPr>
      <w:sz w:val="24"/>
      <w:lang w:val="es-ES"/>
    </w:rPr>
  </w:style>
  <w:style w:type="character" w:customStyle="1" w:styleId="06ElaboracinycontrolCar">
    <w:name w:val="06 Elaboración y control Car"/>
    <w:basedOn w:val="02SubcapituloCar"/>
    <w:link w:val="06Elaboracinycontrol"/>
    <w:uiPriority w:val="1"/>
    <w:rsid w:val="00463364"/>
    <w:rPr>
      <w:rFonts w:ascii="Arial" w:eastAsia="Batang" w:hAnsi="Arial" w:cs="Arial"/>
      <w:b/>
      <w:caps/>
      <w:color w:val="669999"/>
      <w:sz w:val="24"/>
      <w:szCs w:val="24"/>
      <w:lang w:val="es-ES" w:eastAsia="ko-KR"/>
    </w:rPr>
  </w:style>
  <w:style w:type="table" w:customStyle="1" w:styleId="TableNormal1">
    <w:name w:val="Table Normal1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760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17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868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E51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uentedeprrafopredeter"/>
    <w:rsid w:val="007D1127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5D63DA"/>
  </w:style>
  <w:style w:type="paragraph" w:styleId="Ttulo">
    <w:name w:val="Title"/>
    <w:basedOn w:val="Normal"/>
    <w:link w:val="TtuloCar"/>
    <w:uiPriority w:val="10"/>
    <w:qFormat/>
    <w:rsid w:val="005D63DA"/>
    <w:pPr>
      <w:ind w:left="213" w:right="213"/>
      <w:jc w:val="center"/>
    </w:pPr>
    <w:rPr>
      <w:rFonts w:eastAsia="Arial" w:cs="Arial"/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5D63DA"/>
    <w:rPr>
      <w:rFonts w:ascii="Arial" w:eastAsia="Arial" w:hAnsi="Arial" w:cs="Arial"/>
      <w:b/>
      <w:bCs/>
      <w:sz w:val="36"/>
      <w:szCs w:val="3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5D63DA"/>
    <w:pPr>
      <w:keepNext/>
      <w:keepLines/>
      <w:widowControl/>
      <w:autoSpaceDE/>
      <w:autoSpaceDN/>
      <w:spacing w:before="24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6238F3"/>
    <w:rPr>
      <w:rFonts w:ascii="Arial" w:eastAsia="Arial" w:hAnsi="Arial" w:cs="Arial"/>
      <w:b/>
      <w:bCs/>
      <w:color w:val="FFFFFF" w:themeColor="background1"/>
      <w:sz w:val="40"/>
      <w:szCs w:val="24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A30333"/>
    <w:pPr>
      <w:spacing w:after="100"/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rsid w:val="00D851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11B5-F55D-4DA5-8EFC-7B3C8E42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3150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 ESE SANJOSE DE MAICAO</cp:lastModifiedBy>
  <cp:revision>3</cp:revision>
  <cp:lastPrinted>2026-01-14T18:39:00Z</cp:lastPrinted>
  <dcterms:created xsi:type="dcterms:W3CDTF">2026-01-14T18:40:00Z</dcterms:created>
  <dcterms:modified xsi:type="dcterms:W3CDTF">2026-04-22T22:39:00Z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2022-05-20T00:00:00Z</vt:filetime>
  </property>
</Properties>
</file>